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83678B">
        <w:trPr>
          <w:trHeight w:val="1700"/>
          <w:jc w:val="center"/>
        </w:trPr>
        <w:tc>
          <w:tcPr>
            <w:tcW w:w="9242" w:type="dxa"/>
            <w:tcBorders>
              <w:top w:val="nil"/>
              <w:left w:val="nil"/>
              <w:bottom w:val="nil"/>
              <w:right w:val="nil"/>
            </w:tcBorders>
            <w:shd w:val="clear" w:color="auto" w:fill="auto"/>
            <w:tcMar>
              <w:top w:w="80" w:type="dxa"/>
              <w:left w:w="80" w:type="dxa"/>
              <w:bottom w:w="80" w:type="dxa"/>
              <w:right w:w="80" w:type="dxa"/>
            </w:tcMar>
          </w:tcPr>
          <w:p w:rsidR="0083678B" w:rsidRDefault="008E5188">
            <w:pPr>
              <w:jc w:val="center"/>
              <w:rPr>
                <w:rFonts w:ascii="Arial Black" w:eastAsia="Arial Black" w:hAnsi="Arial Black" w:cs="Arial Black"/>
                <w:sz w:val="24"/>
                <w:szCs w:val="24"/>
              </w:rPr>
            </w:pPr>
            <w:r>
              <w:rPr>
                <w:rFonts w:ascii="Arial Black" w:hAnsi="Arial Black"/>
                <w:sz w:val="24"/>
                <w:szCs w:val="24"/>
              </w:rPr>
              <w:t xml:space="preserve">Report of the </w:t>
            </w:r>
            <w:r w:rsidR="005A55D5">
              <w:rPr>
                <w:rFonts w:ascii="Arial Black" w:hAnsi="Arial Black"/>
                <w:sz w:val="24"/>
                <w:szCs w:val="24"/>
              </w:rPr>
              <w:t>Head of Finance</w:t>
            </w:r>
          </w:p>
          <w:p w:rsidR="0083678B" w:rsidRDefault="008D5C37">
            <w:pPr>
              <w:jc w:val="center"/>
              <w:rPr>
                <w:rFonts w:ascii="Arial Black" w:eastAsia="Arial Black" w:hAnsi="Arial Black" w:cs="Arial Black"/>
                <w:sz w:val="24"/>
                <w:szCs w:val="24"/>
              </w:rPr>
            </w:pPr>
            <w:r>
              <w:rPr>
                <w:rFonts w:ascii="Arial Black" w:hAnsi="Arial Black"/>
                <w:sz w:val="24"/>
                <w:szCs w:val="24"/>
              </w:rPr>
              <w:t>t</w:t>
            </w:r>
            <w:r w:rsidR="008E5188">
              <w:rPr>
                <w:rFonts w:ascii="Arial Black" w:hAnsi="Arial Black"/>
                <w:sz w:val="24"/>
                <w:szCs w:val="24"/>
              </w:rPr>
              <w:t>o</w:t>
            </w:r>
          </w:p>
          <w:p w:rsidR="0083678B" w:rsidRDefault="008E5188">
            <w:pPr>
              <w:jc w:val="center"/>
              <w:rPr>
                <w:rFonts w:ascii="Arial Black" w:eastAsia="Arial Black" w:hAnsi="Arial Black" w:cs="Arial Black"/>
                <w:sz w:val="24"/>
                <w:szCs w:val="24"/>
              </w:rPr>
            </w:pPr>
            <w:r>
              <w:rPr>
                <w:rFonts w:ascii="Arial Black" w:hAnsi="Arial Black"/>
                <w:sz w:val="24"/>
                <w:szCs w:val="24"/>
              </w:rPr>
              <w:t xml:space="preserve">The </w:t>
            </w:r>
            <w:r w:rsidR="00065E44">
              <w:rPr>
                <w:rFonts w:ascii="Arial Black" w:hAnsi="Arial Black"/>
                <w:sz w:val="24"/>
                <w:szCs w:val="24"/>
              </w:rPr>
              <w:t>Governance and Standards</w:t>
            </w:r>
            <w:r>
              <w:rPr>
                <w:rFonts w:ascii="Arial Black" w:hAnsi="Arial Black"/>
                <w:sz w:val="24"/>
                <w:szCs w:val="24"/>
              </w:rPr>
              <w:t xml:space="preserve"> Committee</w:t>
            </w:r>
          </w:p>
          <w:p w:rsidR="0083678B" w:rsidRDefault="008D5C37">
            <w:pPr>
              <w:jc w:val="center"/>
              <w:rPr>
                <w:rFonts w:ascii="Arial Black" w:eastAsia="Arial Black" w:hAnsi="Arial Black" w:cs="Arial Black"/>
                <w:sz w:val="24"/>
                <w:szCs w:val="24"/>
              </w:rPr>
            </w:pPr>
            <w:r>
              <w:rPr>
                <w:rFonts w:ascii="Arial Black" w:hAnsi="Arial Black"/>
                <w:sz w:val="24"/>
                <w:szCs w:val="24"/>
              </w:rPr>
              <w:t>o</w:t>
            </w:r>
            <w:r w:rsidR="008E5188">
              <w:rPr>
                <w:rFonts w:ascii="Arial Black" w:hAnsi="Arial Black"/>
                <w:sz w:val="24"/>
                <w:szCs w:val="24"/>
              </w:rPr>
              <w:t>n</w:t>
            </w:r>
          </w:p>
          <w:p w:rsidR="0083678B" w:rsidRDefault="003E625B" w:rsidP="00284419">
            <w:pPr>
              <w:spacing w:after="240"/>
              <w:jc w:val="center"/>
            </w:pPr>
            <w:r>
              <w:rPr>
                <w:rFonts w:ascii="Arial Black" w:hAnsi="Arial Black"/>
                <w:sz w:val="24"/>
                <w:szCs w:val="24"/>
              </w:rPr>
              <w:t>2</w:t>
            </w:r>
            <w:r w:rsidR="00FF4AC9">
              <w:rPr>
                <w:rFonts w:ascii="Arial Black" w:hAnsi="Arial Black"/>
                <w:sz w:val="24"/>
                <w:szCs w:val="24"/>
              </w:rPr>
              <w:t>3</w:t>
            </w:r>
            <w:r>
              <w:rPr>
                <w:rFonts w:ascii="Arial Black" w:hAnsi="Arial Black"/>
                <w:sz w:val="24"/>
                <w:szCs w:val="24"/>
              </w:rPr>
              <w:t xml:space="preserve"> </w:t>
            </w:r>
            <w:r w:rsidR="007207C3">
              <w:rPr>
                <w:rFonts w:ascii="Arial Black" w:hAnsi="Arial Black"/>
                <w:sz w:val="24"/>
                <w:szCs w:val="24"/>
              </w:rPr>
              <w:t>June</w:t>
            </w:r>
            <w:r w:rsidR="00F33CDC" w:rsidRPr="00190A11">
              <w:rPr>
                <w:rFonts w:ascii="Arial Black" w:hAnsi="Arial Black"/>
                <w:sz w:val="24"/>
                <w:szCs w:val="24"/>
              </w:rPr>
              <w:t xml:space="preserve"> 20</w:t>
            </w:r>
            <w:r w:rsidR="007207C3">
              <w:rPr>
                <w:rFonts w:ascii="Arial Black" w:hAnsi="Arial Black"/>
                <w:sz w:val="24"/>
                <w:szCs w:val="24"/>
              </w:rPr>
              <w:t>21</w:t>
            </w:r>
          </w:p>
        </w:tc>
      </w:tr>
      <w:tr w:rsidR="0083678B">
        <w:trPr>
          <w:trHeight w:val="732"/>
          <w:jc w:val="center"/>
        </w:trPr>
        <w:tc>
          <w:tcPr>
            <w:tcW w:w="9242" w:type="dxa"/>
            <w:tcBorders>
              <w:top w:val="single" w:sz="24" w:space="0" w:color="000000"/>
              <w:left w:val="nil"/>
              <w:bottom w:val="single" w:sz="24" w:space="0" w:color="000000"/>
              <w:right w:val="nil"/>
            </w:tcBorders>
            <w:shd w:val="clear" w:color="auto" w:fill="auto"/>
            <w:tcMar>
              <w:top w:w="80" w:type="dxa"/>
              <w:left w:w="80" w:type="dxa"/>
              <w:bottom w:w="80" w:type="dxa"/>
              <w:right w:w="80" w:type="dxa"/>
            </w:tcMar>
          </w:tcPr>
          <w:p w:rsidR="0083678B" w:rsidRPr="00865580" w:rsidRDefault="008E5188" w:rsidP="00666149">
            <w:pPr>
              <w:spacing w:before="120" w:line="360" w:lineRule="auto"/>
              <w:jc w:val="center"/>
              <w:rPr>
                <w:b/>
                <w:bCs/>
                <w:sz w:val="24"/>
                <w:szCs w:val="24"/>
              </w:rPr>
            </w:pPr>
            <w:r>
              <w:rPr>
                <w:b/>
                <w:bCs/>
                <w:sz w:val="24"/>
                <w:szCs w:val="24"/>
              </w:rPr>
              <w:t xml:space="preserve">TREASURY MANAGEMENT </w:t>
            </w:r>
            <w:r w:rsidR="00666149">
              <w:rPr>
                <w:b/>
                <w:bCs/>
                <w:sz w:val="24"/>
                <w:szCs w:val="24"/>
              </w:rPr>
              <w:t>OUTTURN POSITION 2020</w:t>
            </w:r>
            <w:r w:rsidR="001A26B6">
              <w:rPr>
                <w:b/>
                <w:bCs/>
                <w:sz w:val="24"/>
                <w:szCs w:val="24"/>
              </w:rPr>
              <w:t>/</w:t>
            </w:r>
            <w:r w:rsidR="004A365C">
              <w:rPr>
                <w:b/>
                <w:bCs/>
                <w:sz w:val="24"/>
                <w:szCs w:val="24"/>
              </w:rPr>
              <w:t>2</w:t>
            </w:r>
            <w:r w:rsidR="00666149">
              <w:rPr>
                <w:b/>
                <w:bCs/>
                <w:sz w:val="24"/>
                <w:szCs w:val="24"/>
              </w:rPr>
              <w:t>1</w:t>
            </w:r>
          </w:p>
        </w:tc>
      </w:tr>
    </w:tbl>
    <w:p w:rsidR="0083678B" w:rsidRDefault="0083678B">
      <w:pPr>
        <w:widowControl w:val="0"/>
        <w:jc w:val="center"/>
        <w:rPr>
          <w:sz w:val="24"/>
          <w:szCs w:val="24"/>
        </w:rPr>
      </w:pPr>
    </w:p>
    <w:p w:rsidR="0083678B" w:rsidRDefault="008E5188" w:rsidP="002B1608">
      <w:pPr>
        <w:ind w:left="709" w:hanging="709"/>
        <w:rPr>
          <w:b/>
          <w:bCs/>
          <w:sz w:val="24"/>
          <w:szCs w:val="24"/>
        </w:rPr>
      </w:pPr>
      <w:r>
        <w:rPr>
          <w:rFonts w:eastAsia="Arial Unicode MS" w:cs="Arial Unicode MS"/>
          <w:b/>
          <w:bCs/>
          <w:sz w:val="24"/>
          <w:szCs w:val="24"/>
        </w:rPr>
        <w:t>1.</w:t>
      </w:r>
      <w:r>
        <w:rPr>
          <w:rFonts w:eastAsia="Arial Unicode MS" w:cs="Arial Unicode MS"/>
          <w:b/>
          <w:bCs/>
          <w:sz w:val="24"/>
          <w:szCs w:val="24"/>
        </w:rPr>
        <w:tab/>
        <w:t>SUMMARY</w:t>
      </w:r>
    </w:p>
    <w:p w:rsidR="0083678B" w:rsidRDefault="0083678B" w:rsidP="004B0B8A">
      <w:pPr>
        <w:ind w:left="709" w:hanging="709"/>
        <w:rPr>
          <w:b/>
          <w:bCs/>
          <w:sz w:val="24"/>
          <w:szCs w:val="24"/>
        </w:rPr>
      </w:pPr>
    </w:p>
    <w:p w:rsidR="00146B9E" w:rsidRPr="00BD3AAF" w:rsidRDefault="00146B9E" w:rsidP="00146B9E">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600"/>
        </w:tabs>
        <w:ind w:left="600" w:hanging="600"/>
        <w:rPr>
          <w:sz w:val="24"/>
          <w:szCs w:val="24"/>
        </w:rPr>
      </w:pPr>
      <w:r w:rsidRPr="00BD3AAF">
        <w:rPr>
          <w:sz w:val="24"/>
          <w:szCs w:val="24"/>
        </w:rPr>
        <w:t xml:space="preserve">This report summarises the transactions undertaken during </w:t>
      </w:r>
      <w:r>
        <w:rPr>
          <w:sz w:val="24"/>
          <w:szCs w:val="24"/>
        </w:rPr>
        <w:t>the 20</w:t>
      </w:r>
      <w:r w:rsidR="00666149">
        <w:rPr>
          <w:sz w:val="24"/>
          <w:szCs w:val="24"/>
        </w:rPr>
        <w:t>20</w:t>
      </w:r>
      <w:r w:rsidR="008C002C">
        <w:rPr>
          <w:sz w:val="24"/>
          <w:szCs w:val="24"/>
        </w:rPr>
        <w:t>/</w:t>
      </w:r>
      <w:r w:rsidR="004A365C">
        <w:rPr>
          <w:sz w:val="24"/>
          <w:szCs w:val="24"/>
        </w:rPr>
        <w:t>2</w:t>
      </w:r>
      <w:r w:rsidR="00666149">
        <w:rPr>
          <w:sz w:val="24"/>
          <w:szCs w:val="24"/>
        </w:rPr>
        <w:t>1</w:t>
      </w:r>
      <w:r>
        <w:rPr>
          <w:sz w:val="24"/>
          <w:szCs w:val="24"/>
        </w:rPr>
        <w:t xml:space="preserve"> financial year</w:t>
      </w:r>
      <w:r w:rsidRPr="00BD3AAF">
        <w:rPr>
          <w:sz w:val="24"/>
          <w:szCs w:val="24"/>
        </w:rPr>
        <w:t xml:space="preserve"> as part of the Treasury Management function. </w:t>
      </w:r>
    </w:p>
    <w:p w:rsidR="00146B9E" w:rsidRPr="00BD3AAF" w:rsidRDefault="00146B9E" w:rsidP="00146B9E">
      <w:pPr>
        <w:rPr>
          <w:sz w:val="24"/>
          <w:szCs w:val="24"/>
        </w:rPr>
      </w:pPr>
    </w:p>
    <w:p w:rsidR="00146B9E" w:rsidRPr="00BD3AAF" w:rsidRDefault="00146B9E" w:rsidP="00146B9E">
      <w:pPr>
        <w:tabs>
          <w:tab w:val="left" w:pos="600"/>
        </w:tabs>
        <w:ind w:left="600" w:hanging="600"/>
        <w:rPr>
          <w:sz w:val="24"/>
          <w:szCs w:val="24"/>
        </w:rPr>
      </w:pPr>
      <w:r w:rsidRPr="00BD3AAF">
        <w:rPr>
          <w:sz w:val="24"/>
          <w:szCs w:val="24"/>
        </w:rPr>
        <w:t xml:space="preserve">1.2 </w:t>
      </w:r>
      <w:r w:rsidRPr="00BD3AAF">
        <w:rPr>
          <w:sz w:val="24"/>
          <w:szCs w:val="24"/>
        </w:rPr>
        <w:tab/>
        <w:t>This report is required under the terms of the Treasury Management and Investment Strategy of the Council</w:t>
      </w:r>
      <w:r>
        <w:rPr>
          <w:sz w:val="24"/>
          <w:szCs w:val="24"/>
        </w:rPr>
        <w:t>.  This is to be submitted to full Council in line with the 2009 CIPFA Code of Practice on Treasury Management which was adopted by this Council on 4 March 2010 and</w:t>
      </w:r>
      <w:r w:rsidRPr="00BD3AAF">
        <w:rPr>
          <w:sz w:val="24"/>
          <w:szCs w:val="24"/>
        </w:rPr>
        <w:t xml:space="preserve"> to ensure that Members are advised of the impact of the Strategy and that it is being correctly implemented.</w:t>
      </w:r>
    </w:p>
    <w:p w:rsidR="00146B9E" w:rsidRPr="00BD3AAF" w:rsidRDefault="00146B9E" w:rsidP="00146B9E">
      <w:pPr>
        <w:tabs>
          <w:tab w:val="left" w:pos="600"/>
        </w:tabs>
        <w:ind w:left="600" w:hanging="600"/>
        <w:rPr>
          <w:sz w:val="24"/>
          <w:szCs w:val="24"/>
        </w:rPr>
      </w:pPr>
    </w:p>
    <w:p w:rsidR="00522443" w:rsidRDefault="00146B9E" w:rsidP="00146B9E">
      <w:pPr>
        <w:tabs>
          <w:tab w:val="left" w:pos="0"/>
        </w:tabs>
        <w:ind w:left="709" w:hanging="709"/>
        <w:rPr>
          <w:sz w:val="24"/>
          <w:szCs w:val="24"/>
        </w:rPr>
      </w:pPr>
      <w:r w:rsidRPr="00BD3AAF">
        <w:rPr>
          <w:b/>
          <w:sz w:val="24"/>
          <w:szCs w:val="24"/>
        </w:rPr>
        <w:t>Key decision:</w:t>
      </w:r>
      <w:r w:rsidRPr="00BD3AAF">
        <w:rPr>
          <w:sz w:val="24"/>
          <w:szCs w:val="24"/>
        </w:rPr>
        <w:t xml:space="preserve"> This is </w:t>
      </w:r>
      <w:r w:rsidR="00F072C4">
        <w:rPr>
          <w:sz w:val="24"/>
          <w:szCs w:val="24"/>
        </w:rPr>
        <w:t xml:space="preserve">not </w:t>
      </w:r>
      <w:r w:rsidRPr="00BD3AAF">
        <w:rPr>
          <w:sz w:val="24"/>
          <w:szCs w:val="24"/>
        </w:rPr>
        <w:t>a key decision</w:t>
      </w:r>
      <w:r w:rsidR="00F072C4">
        <w:rPr>
          <w:sz w:val="24"/>
          <w:szCs w:val="24"/>
        </w:rPr>
        <w:t>.</w:t>
      </w:r>
    </w:p>
    <w:p w:rsidR="00146B9E" w:rsidRDefault="00146B9E" w:rsidP="00146B9E">
      <w:pPr>
        <w:tabs>
          <w:tab w:val="left" w:pos="0"/>
        </w:tabs>
        <w:ind w:left="709" w:hanging="709"/>
        <w:rPr>
          <w:b/>
          <w:bCs/>
          <w:sz w:val="24"/>
          <w:szCs w:val="24"/>
        </w:rPr>
      </w:pPr>
    </w:p>
    <w:p w:rsidR="0083678B" w:rsidRDefault="003A73E9" w:rsidP="004B0B8A">
      <w:pPr>
        <w:ind w:left="709" w:hanging="709"/>
        <w:rPr>
          <w:b/>
          <w:bCs/>
          <w:sz w:val="24"/>
          <w:szCs w:val="24"/>
        </w:rPr>
      </w:pPr>
      <w:r>
        <w:rPr>
          <w:rFonts w:eastAsia="Arial Unicode MS" w:cs="Arial Unicode MS"/>
          <w:b/>
          <w:bCs/>
          <w:sz w:val="24"/>
          <w:szCs w:val="24"/>
        </w:rPr>
        <w:t>2</w:t>
      </w:r>
      <w:r w:rsidR="004B0B8A">
        <w:rPr>
          <w:rFonts w:eastAsia="Arial Unicode MS" w:cs="Arial Unicode MS"/>
          <w:b/>
          <w:bCs/>
          <w:sz w:val="24"/>
          <w:szCs w:val="24"/>
        </w:rPr>
        <w:t>.</w:t>
      </w:r>
      <w:r w:rsidR="008E5188">
        <w:rPr>
          <w:rFonts w:eastAsia="Arial Unicode MS" w:cs="Arial Unicode MS"/>
          <w:b/>
          <w:bCs/>
          <w:sz w:val="24"/>
          <w:szCs w:val="24"/>
        </w:rPr>
        <w:tab/>
        <w:t>RECOMMENDATION</w:t>
      </w:r>
    </w:p>
    <w:p w:rsidR="0083678B" w:rsidRDefault="0083678B" w:rsidP="004B0B8A">
      <w:pPr>
        <w:ind w:left="709" w:hanging="709"/>
        <w:outlineLvl w:val="0"/>
        <w:rPr>
          <w:b/>
          <w:bCs/>
          <w:sz w:val="24"/>
          <w:szCs w:val="24"/>
        </w:rPr>
      </w:pPr>
    </w:p>
    <w:p w:rsidR="0083678B" w:rsidRDefault="008E5188" w:rsidP="004B0B8A">
      <w:pPr>
        <w:ind w:left="709" w:hanging="709"/>
        <w:outlineLvl w:val="0"/>
        <w:rPr>
          <w:b/>
          <w:bCs/>
          <w:sz w:val="24"/>
          <w:szCs w:val="24"/>
        </w:rPr>
      </w:pPr>
      <w:r>
        <w:rPr>
          <w:b/>
          <w:bCs/>
          <w:sz w:val="24"/>
          <w:szCs w:val="24"/>
        </w:rPr>
        <w:t xml:space="preserve">To be resolved by the </w:t>
      </w:r>
      <w:r w:rsidR="00583FBB">
        <w:rPr>
          <w:b/>
          <w:bCs/>
          <w:sz w:val="24"/>
          <w:szCs w:val="24"/>
        </w:rPr>
        <w:t>Governance and Standard</w:t>
      </w:r>
      <w:r w:rsidR="002F40A5">
        <w:rPr>
          <w:b/>
          <w:bCs/>
          <w:sz w:val="24"/>
          <w:szCs w:val="24"/>
        </w:rPr>
        <w:t>s</w:t>
      </w:r>
      <w:r>
        <w:rPr>
          <w:b/>
          <w:bCs/>
          <w:sz w:val="24"/>
          <w:szCs w:val="24"/>
        </w:rPr>
        <w:t xml:space="preserve"> Committee</w:t>
      </w:r>
    </w:p>
    <w:p w:rsidR="0083678B" w:rsidRDefault="0083678B" w:rsidP="004B0B8A">
      <w:pPr>
        <w:ind w:left="709" w:hanging="709"/>
        <w:outlineLvl w:val="0"/>
        <w:rPr>
          <w:b/>
          <w:bCs/>
          <w:sz w:val="24"/>
          <w:szCs w:val="24"/>
        </w:rPr>
      </w:pPr>
    </w:p>
    <w:p w:rsidR="00146B9E" w:rsidRPr="00296FB9" w:rsidRDefault="00146B9E" w:rsidP="00146B9E">
      <w:pPr>
        <w:ind w:left="720" w:hanging="720"/>
        <w:rPr>
          <w:sz w:val="24"/>
          <w:szCs w:val="24"/>
        </w:rPr>
      </w:pPr>
      <w:r w:rsidRPr="00296FB9">
        <w:rPr>
          <w:sz w:val="24"/>
          <w:szCs w:val="24"/>
        </w:rPr>
        <w:t>2.1</w:t>
      </w:r>
      <w:r w:rsidRPr="00296FB9">
        <w:rPr>
          <w:sz w:val="24"/>
          <w:szCs w:val="24"/>
        </w:rPr>
        <w:tab/>
        <w:t xml:space="preserve">That the </w:t>
      </w:r>
      <w:r w:rsidR="003F5415">
        <w:rPr>
          <w:sz w:val="24"/>
          <w:szCs w:val="24"/>
        </w:rPr>
        <w:t>r</w:t>
      </w:r>
      <w:r>
        <w:rPr>
          <w:sz w:val="24"/>
          <w:szCs w:val="24"/>
        </w:rPr>
        <w:t>eport be noted and recommended to Council in line with the 2009 CIPFA Code of Practice adopted by the Council.</w:t>
      </w:r>
    </w:p>
    <w:p w:rsidR="00303A87" w:rsidRDefault="00303A87">
      <w:pPr>
        <w:rPr>
          <w:b/>
          <w:bCs/>
          <w:sz w:val="24"/>
          <w:szCs w:val="24"/>
        </w:rPr>
      </w:pPr>
    </w:p>
    <w:p w:rsidR="0083678B" w:rsidRDefault="008E5188">
      <w:pPr>
        <w:rPr>
          <w:b/>
          <w:bCs/>
          <w:sz w:val="24"/>
          <w:szCs w:val="24"/>
        </w:rPr>
      </w:pPr>
      <w:r>
        <w:rPr>
          <w:rFonts w:eastAsia="Arial Unicode MS" w:cs="Arial Unicode MS"/>
          <w:b/>
          <w:bCs/>
          <w:sz w:val="24"/>
          <w:szCs w:val="24"/>
        </w:rPr>
        <w:t>3.</w:t>
      </w:r>
      <w:r>
        <w:rPr>
          <w:rFonts w:eastAsia="Arial Unicode MS" w:cs="Arial Unicode MS"/>
          <w:b/>
          <w:bCs/>
          <w:sz w:val="24"/>
          <w:szCs w:val="24"/>
        </w:rPr>
        <w:tab/>
        <w:t>BACKGROUND</w:t>
      </w:r>
    </w:p>
    <w:p w:rsidR="0083678B" w:rsidRDefault="0083678B">
      <w:pPr>
        <w:rPr>
          <w:sz w:val="24"/>
          <w:szCs w:val="24"/>
        </w:rPr>
      </w:pPr>
    </w:p>
    <w:p w:rsidR="00BB5657" w:rsidRDefault="00303A87" w:rsidP="00303A87">
      <w:pPr>
        <w:ind w:left="709" w:hanging="709"/>
        <w:rPr>
          <w:sz w:val="24"/>
          <w:szCs w:val="24"/>
        </w:rPr>
      </w:pPr>
      <w:r>
        <w:rPr>
          <w:sz w:val="24"/>
          <w:szCs w:val="24"/>
        </w:rPr>
        <w:t xml:space="preserve">3.1 </w:t>
      </w:r>
      <w:r>
        <w:rPr>
          <w:sz w:val="24"/>
          <w:szCs w:val="24"/>
        </w:rPr>
        <w:tab/>
        <w:t>The Council</w:t>
      </w:r>
      <w:r w:rsidR="00BB5657">
        <w:rPr>
          <w:sz w:val="24"/>
          <w:szCs w:val="24"/>
        </w:rPr>
        <w:t xml:space="preserve">’s Treasury Management Strategy has been underpinned by the adoption of the </w:t>
      </w:r>
      <w:r w:rsidR="00BB5657" w:rsidRPr="00BB5657">
        <w:rPr>
          <w:sz w:val="24"/>
          <w:szCs w:val="24"/>
        </w:rPr>
        <w:t>Chartered Institute of Public Finance and Accountancy (CIPFA) Code of Practice on Treasury Management (the Code) and the CIPFA Prudential Code for Capital Finance in Local Aut</w:t>
      </w:r>
      <w:r w:rsidR="00BB5657">
        <w:rPr>
          <w:sz w:val="24"/>
          <w:szCs w:val="24"/>
        </w:rPr>
        <w:t>horities (the Prudential Code), which includes the requirement for determining a treasury strategy on the likely financing and investment activity for the forthcoming year.</w:t>
      </w:r>
      <w:r w:rsidR="00BB5657" w:rsidRPr="00BB5657">
        <w:rPr>
          <w:sz w:val="24"/>
          <w:szCs w:val="24"/>
        </w:rPr>
        <w:t xml:space="preserve"> </w:t>
      </w:r>
    </w:p>
    <w:p w:rsidR="00BB5657" w:rsidRDefault="00BB5657" w:rsidP="00303A87">
      <w:pPr>
        <w:ind w:left="709" w:hanging="709"/>
        <w:rPr>
          <w:sz w:val="24"/>
          <w:szCs w:val="24"/>
        </w:rPr>
      </w:pPr>
    </w:p>
    <w:p w:rsidR="00BB5657" w:rsidRDefault="00F33CDC" w:rsidP="00303A87">
      <w:pPr>
        <w:ind w:left="709" w:hanging="709"/>
        <w:rPr>
          <w:sz w:val="24"/>
          <w:szCs w:val="24"/>
        </w:rPr>
      </w:pPr>
      <w:r>
        <w:rPr>
          <w:sz w:val="24"/>
          <w:szCs w:val="24"/>
        </w:rPr>
        <w:t>3.2</w:t>
      </w:r>
      <w:r>
        <w:rPr>
          <w:sz w:val="24"/>
          <w:szCs w:val="24"/>
        </w:rPr>
        <w:tab/>
        <w:t xml:space="preserve">On the </w:t>
      </w:r>
      <w:r w:rsidR="00EF297B">
        <w:rPr>
          <w:sz w:val="24"/>
          <w:szCs w:val="24"/>
        </w:rPr>
        <w:t>3</w:t>
      </w:r>
      <w:r w:rsidR="00BB5657">
        <w:rPr>
          <w:sz w:val="24"/>
          <w:szCs w:val="24"/>
        </w:rPr>
        <w:t xml:space="preserve"> </w:t>
      </w:r>
      <w:r w:rsidR="000E4D62">
        <w:rPr>
          <w:sz w:val="24"/>
          <w:szCs w:val="24"/>
        </w:rPr>
        <w:t>March</w:t>
      </w:r>
      <w:r w:rsidR="00BB5657">
        <w:rPr>
          <w:sz w:val="24"/>
          <w:szCs w:val="24"/>
        </w:rPr>
        <w:t xml:space="preserve"> 20</w:t>
      </w:r>
      <w:r w:rsidR="00EF297B">
        <w:rPr>
          <w:sz w:val="24"/>
          <w:szCs w:val="24"/>
        </w:rPr>
        <w:t>20</w:t>
      </w:r>
      <w:r>
        <w:rPr>
          <w:sz w:val="24"/>
          <w:szCs w:val="24"/>
        </w:rPr>
        <w:t xml:space="preserve"> Council approved the 20</w:t>
      </w:r>
      <w:r w:rsidR="008855C8">
        <w:rPr>
          <w:sz w:val="24"/>
          <w:szCs w:val="24"/>
        </w:rPr>
        <w:t>20</w:t>
      </w:r>
      <w:r w:rsidR="008C002C">
        <w:rPr>
          <w:sz w:val="24"/>
          <w:szCs w:val="24"/>
        </w:rPr>
        <w:t>/</w:t>
      </w:r>
      <w:r w:rsidR="008855C8">
        <w:rPr>
          <w:sz w:val="24"/>
          <w:szCs w:val="24"/>
        </w:rPr>
        <w:t>21</w:t>
      </w:r>
      <w:r w:rsidR="00BB5657">
        <w:rPr>
          <w:sz w:val="24"/>
          <w:szCs w:val="24"/>
        </w:rPr>
        <w:t xml:space="preserve"> Annual Treasury Management Strategy, which sets out the Treasury Management practices adopted by the Council.</w:t>
      </w:r>
      <w:r w:rsidR="00170FA7">
        <w:rPr>
          <w:sz w:val="24"/>
          <w:szCs w:val="24"/>
        </w:rPr>
        <w:t xml:space="preserve">  The Council’s investment priorities remain the security of capital and good liquidity.  Whilst the Council will always seek to obtain the optimum return (yield) on its investments, this will at all times be commensurate with proper levels of security and liquidity.  </w:t>
      </w:r>
    </w:p>
    <w:p w:rsidR="00BB5657" w:rsidRDefault="00BB5657" w:rsidP="00303A87">
      <w:pPr>
        <w:ind w:left="709" w:hanging="709"/>
        <w:rPr>
          <w:sz w:val="24"/>
          <w:szCs w:val="24"/>
        </w:rPr>
      </w:pPr>
    </w:p>
    <w:p w:rsidR="006922C9" w:rsidRDefault="006031D3" w:rsidP="00303A87">
      <w:pPr>
        <w:ind w:left="709" w:hanging="709"/>
        <w:rPr>
          <w:sz w:val="24"/>
          <w:szCs w:val="24"/>
        </w:rPr>
      </w:pPr>
      <w:r>
        <w:rPr>
          <w:sz w:val="24"/>
          <w:szCs w:val="24"/>
        </w:rPr>
        <w:lastRenderedPageBreak/>
        <w:t>3.3</w:t>
      </w:r>
      <w:r>
        <w:rPr>
          <w:sz w:val="24"/>
          <w:szCs w:val="24"/>
        </w:rPr>
        <w:tab/>
        <w:t xml:space="preserve">The </w:t>
      </w:r>
      <w:r w:rsidR="003B2308">
        <w:rPr>
          <w:sz w:val="24"/>
          <w:szCs w:val="24"/>
        </w:rPr>
        <w:t xml:space="preserve">CIPFA </w:t>
      </w:r>
      <w:r>
        <w:rPr>
          <w:sz w:val="24"/>
          <w:szCs w:val="24"/>
        </w:rPr>
        <w:t>Co</w:t>
      </w:r>
      <w:r w:rsidR="003B2308">
        <w:rPr>
          <w:sz w:val="24"/>
          <w:szCs w:val="24"/>
        </w:rPr>
        <w:t xml:space="preserve">de also recommends that members </w:t>
      </w:r>
      <w:r w:rsidR="006105A0">
        <w:rPr>
          <w:sz w:val="24"/>
          <w:szCs w:val="24"/>
        </w:rPr>
        <w:t>be</w:t>
      </w:r>
      <w:r w:rsidR="003B2308">
        <w:rPr>
          <w:sz w:val="24"/>
          <w:szCs w:val="24"/>
        </w:rPr>
        <w:t xml:space="preserve"> informed of Treasury activity and Prudential Indicators at least twice a year.  Therefore, this report ensures that the Council is embracing best practice in accordance with CIPFA’s recommendations.</w:t>
      </w:r>
    </w:p>
    <w:p w:rsidR="00AD1D97" w:rsidRDefault="00AD1D97" w:rsidP="00303A87">
      <w:pPr>
        <w:ind w:left="709" w:hanging="709"/>
        <w:rPr>
          <w:sz w:val="24"/>
          <w:szCs w:val="24"/>
        </w:rPr>
      </w:pPr>
    </w:p>
    <w:p w:rsidR="003B2308" w:rsidRDefault="003B2308" w:rsidP="00303A87">
      <w:pPr>
        <w:ind w:left="709" w:hanging="709"/>
        <w:rPr>
          <w:sz w:val="24"/>
          <w:szCs w:val="24"/>
        </w:rPr>
      </w:pPr>
      <w:r>
        <w:rPr>
          <w:sz w:val="24"/>
          <w:szCs w:val="24"/>
        </w:rPr>
        <w:t>3.4</w:t>
      </w:r>
      <w:r>
        <w:rPr>
          <w:sz w:val="24"/>
          <w:szCs w:val="24"/>
        </w:rPr>
        <w:tab/>
        <w:t>Treasury Management is defined as: “The management of the Council’s investments and cash flows, its banking, money market and capital market transactions; the effective control of the risks associated with those activities and the pursuit of optimum performance consistent with those risks”.</w:t>
      </w:r>
    </w:p>
    <w:p w:rsidR="003B2308" w:rsidRDefault="003B2308" w:rsidP="00303A87">
      <w:pPr>
        <w:ind w:left="709" w:hanging="709"/>
        <w:rPr>
          <w:sz w:val="24"/>
          <w:szCs w:val="24"/>
        </w:rPr>
      </w:pPr>
    </w:p>
    <w:p w:rsidR="003B2308" w:rsidRDefault="003B2308" w:rsidP="00D50B2A">
      <w:pPr>
        <w:ind w:left="709" w:hanging="709"/>
        <w:rPr>
          <w:sz w:val="24"/>
          <w:szCs w:val="24"/>
        </w:rPr>
      </w:pPr>
      <w:r>
        <w:rPr>
          <w:sz w:val="24"/>
          <w:szCs w:val="24"/>
        </w:rPr>
        <w:t>3.5</w:t>
      </w:r>
      <w:r>
        <w:rPr>
          <w:sz w:val="24"/>
          <w:szCs w:val="24"/>
        </w:rPr>
        <w:tab/>
        <w:t>The regulatory environment places responsibility on members for the review and scrutiny of treasury management policy and activities.  Th</w:t>
      </w:r>
      <w:r w:rsidR="00170FA7">
        <w:rPr>
          <w:sz w:val="24"/>
          <w:szCs w:val="24"/>
        </w:rPr>
        <w:t>is</w:t>
      </w:r>
      <w:r>
        <w:rPr>
          <w:sz w:val="24"/>
          <w:szCs w:val="24"/>
        </w:rPr>
        <w:t xml:space="preserve"> report provi</w:t>
      </w:r>
      <w:r w:rsidR="00BC7AD7">
        <w:rPr>
          <w:sz w:val="24"/>
          <w:szCs w:val="24"/>
        </w:rPr>
        <w:t>des details of the position at 31</w:t>
      </w:r>
      <w:r>
        <w:rPr>
          <w:sz w:val="24"/>
          <w:szCs w:val="24"/>
        </w:rPr>
        <w:t xml:space="preserve"> </w:t>
      </w:r>
      <w:r w:rsidR="00BC7AD7">
        <w:rPr>
          <w:sz w:val="24"/>
          <w:szCs w:val="24"/>
        </w:rPr>
        <w:t>March</w:t>
      </w:r>
      <w:r w:rsidR="00B803D0">
        <w:rPr>
          <w:sz w:val="24"/>
          <w:szCs w:val="24"/>
        </w:rPr>
        <w:t xml:space="preserve"> 202</w:t>
      </w:r>
      <w:r w:rsidR="00EF297B">
        <w:rPr>
          <w:sz w:val="24"/>
          <w:szCs w:val="24"/>
        </w:rPr>
        <w:t>1</w:t>
      </w:r>
      <w:r>
        <w:rPr>
          <w:sz w:val="24"/>
          <w:szCs w:val="24"/>
        </w:rPr>
        <w:t xml:space="preserve"> and highlights compliance with the Council’s policies.</w:t>
      </w:r>
    </w:p>
    <w:p w:rsidR="007015DB" w:rsidRDefault="007015DB" w:rsidP="00D50B2A">
      <w:pPr>
        <w:ind w:left="709" w:hanging="709"/>
        <w:rPr>
          <w:sz w:val="24"/>
          <w:szCs w:val="24"/>
        </w:rPr>
      </w:pPr>
    </w:p>
    <w:p w:rsidR="007015DB" w:rsidRPr="008F2700" w:rsidRDefault="007015DB" w:rsidP="007015DB">
      <w:pPr>
        <w:rPr>
          <w:b/>
          <w:sz w:val="24"/>
          <w:szCs w:val="24"/>
        </w:rPr>
      </w:pPr>
      <w:r>
        <w:rPr>
          <w:b/>
          <w:sz w:val="24"/>
          <w:szCs w:val="24"/>
        </w:rPr>
        <w:t>4.</w:t>
      </w:r>
      <w:r w:rsidRPr="008F2700">
        <w:rPr>
          <w:b/>
          <w:sz w:val="24"/>
          <w:szCs w:val="24"/>
        </w:rPr>
        <w:tab/>
      </w:r>
      <w:r>
        <w:rPr>
          <w:b/>
          <w:sz w:val="24"/>
          <w:szCs w:val="24"/>
        </w:rPr>
        <w:t xml:space="preserve">THE </w:t>
      </w:r>
      <w:r w:rsidRPr="008F2700">
        <w:rPr>
          <w:b/>
          <w:sz w:val="24"/>
          <w:szCs w:val="24"/>
        </w:rPr>
        <w:t>S</w:t>
      </w:r>
      <w:r>
        <w:rPr>
          <w:b/>
          <w:sz w:val="24"/>
          <w:szCs w:val="24"/>
        </w:rPr>
        <w:t>TRATEGY FOR</w:t>
      </w:r>
      <w:r w:rsidR="00EF297B">
        <w:rPr>
          <w:b/>
          <w:sz w:val="24"/>
          <w:szCs w:val="24"/>
        </w:rPr>
        <w:t xml:space="preserve"> 2020</w:t>
      </w:r>
      <w:r w:rsidRPr="008F2700">
        <w:rPr>
          <w:b/>
          <w:sz w:val="24"/>
          <w:szCs w:val="24"/>
        </w:rPr>
        <w:t>/20</w:t>
      </w:r>
      <w:r w:rsidR="00860AE7">
        <w:rPr>
          <w:b/>
          <w:sz w:val="24"/>
          <w:szCs w:val="24"/>
        </w:rPr>
        <w:t>2</w:t>
      </w:r>
      <w:r w:rsidR="00EF297B">
        <w:rPr>
          <w:b/>
          <w:sz w:val="24"/>
          <w:szCs w:val="24"/>
        </w:rPr>
        <w:t>1</w:t>
      </w:r>
    </w:p>
    <w:p w:rsidR="007015DB" w:rsidRPr="008F2700" w:rsidRDefault="007015DB" w:rsidP="007015DB">
      <w:pPr>
        <w:rPr>
          <w:sz w:val="24"/>
          <w:szCs w:val="24"/>
        </w:rPr>
      </w:pPr>
    </w:p>
    <w:p w:rsidR="007015DB" w:rsidRPr="00437BBE" w:rsidRDefault="00855C98" w:rsidP="00860AE7">
      <w:pPr>
        <w:spacing w:after="240"/>
        <w:ind w:left="720" w:hanging="720"/>
        <w:rPr>
          <w:sz w:val="24"/>
          <w:szCs w:val="24"/>
          <w:highlight w:val="yellow"/>
        </w:rPr>
      </w:pPr>
      <w:r>
        <w:rPr>
          <w:sz w:val="24"/>
          <w:szCs w:val="24"/>
        </w:rPr>
        <w:t>4</w:t>
      </w:r>
      <w:r w:rsidR="007015DB" w:rsidRPr="008F2700">
        <w:rPr>
          <w:sz w:val="24"/>
          <w:szCs w:val="24"/>
        </w:rPr>
        <w:t>.1</w:t>
      </w:r>
      <w:r w:rsidR="007015DB" w:rsidRPr="008F2700">
        <w:rPr>
          <w:sz w:val="24"/>
          <w:szCs w:val="24"/>
        </w:rPr>
        <w:tab/>
      </w:r>
      <w:r w:rsidR="006322D1" w:rsidRPr="006322D1">
        <w:rPr>
          <w:color w:val="0D0D0D" w:themeColor="text1" w:themeTint="F2"/>
          <w:sz w:val="24"/>
          <w:szCs w:val="24"/>
          <w:lang w:val="en-GB"/>
        </w:rPr>
        <w:t xml:space="preserve">Investment </w:t>
      </w:r>
      <w:r w:rsidR="006105A0" w:rsidRPr="006322D1">
        <w:rPr>
          <w:color w:val="0D0D0D" w:themeColor="text1" w:themeTint="F2"/>
          <w:sz w:val="24"/>
          <w:szCs w:val="24"/>
          <w:lang w:val="en-GB"/>
        </w:rPr>
        <w:t>returns, which</w:t>
      </w:r>
      <w:r w:rsidR="006322D1" w:rsidRPr="006322D1">
        <w:rPr>
          <w:color w:val="0D0D0D" w:themeColor="text1" w:themeTint="F2"/>
          <w:sz w:val="24"/>
          <w:szCs w:val="24"/>
          <w:lang w:val="en-GB"/>
        </w:rPr>
        <w:t xml:space="preserve"> had been low during 2019/20, plunged during 2020/21 to near zero or even into negative territory.  Most local authority lending managed to avoid negative rates and one feature of the year was the growth of inter local authority lending.  The expectation for interest rates within the treasury management strategy for 2020/21 was that Bank Rate would continue at the start of the year at 0.75 % before rising to end 2022/23 at 1.25%.</w:t>
      </w:r>
      <w:r w:rsidR="00860AE7">
        <w:rPr>
          <w:rFonts w:ascii="Calibri" w:hAnsi="Calibri"/>
          <w:color w:val="0D0D0D" w:themeColor="text1" w:themeTint="F2"/>
        </w:rPr>
        <w:t xml:space="preserve">  </w:t>
      </w:r>
    </w:p>
    <w:p w:rsidR="009C6E6F" w:rsidRDefault="00855C98" w:rsidP="007116D7">
      <w:pPr>
        <w:pStyle w:val="BodyText"/>
        <w:spacing w:after="0" w:line="240" w:lineRule="auto"/>
        <w:ind w:left="720" w:hanging="720"/>
        <w:rPr>
          <w:rFonts w:ascii="Arial" w:hAnsi="Arial" w:cs="Arial"/>
          <w:sz w:val="24"/>
          <w:szCs w:val="24"/>
        </w:rPr>
      </w:pPr>
      <w:r>
        <w:rPr>
          <w:rFonts w:ascii="Arial" w:hAnsi="Arial" w:cs="Arial"/>
          <w:sz w:val="24"/>
          <w:szCs w:val="24"/>
        </w:rPr>
        <w:t>4</w:t>
      </w:r>
      <w:r w:rsidR="007015DB" w:rsidRPr="008F2700">
        <w:rPr>
          <w:rFonts w:ascii="Arial" w:hAnsi="Arial" w:cs="Arial"/>
          <w:sz w:val="24"/>
          <w:szCs w:val="24"/>
        </w:rPr>
        <w:t>.2</w:t>
      </w:r>
      <w:r w:rsidR="007015DB" w:rsidRPr="008F2700">
        <w:rPr>
          <w:rFonts w:ascii="Arial" w:hAnsi="Arial" w:cs="Arial"/>
          <w:sz w:val="24"/>
          <w:szCs w:val="24"/>
        </w:rPr>
        <w:tab/>
      </w:r>
      <w:r w:rsidR="006322D1" w:rsidRPr="006322D1">
        <w:rPr>
          <w:rFonts w:ascii="Arial" w:hAnsi="Arial" w:cs="Arial"/>
          <w:sz w:val="24"/>
          <w:szCs w:val="24"/>
          <w:lang w:val="en-US"/>
        </w:rPr>
        <w:t>This forecast was invalidated by the</w:t>
      </w:r>
      <w:r w:rsidR="00382E54">
        <w:rPr>
          <w:rFonts w:ascii="Arial" w:hAnsi="Arial" w:cs="Arial"/>
          <w:sz w:val="24"/>
          <w:szCs w:val="24"/>
          <w:lang w:val="en-US"/>
        </w:rPr>
        <w:t xml:space="preserve"> impact of the</w:t>
      </w:r>
      <w:r w:rsidR="006322D1" w:rsidRPr="006322D1">
        <w:rPr>
          <w:rFonts w:ascii="Arial" w:hAnsi="Arial" w:cs="Arial"/>
          <w:sz w:val="24"/>
          <w:szCs w:val="24"/>
          <w:lang w:val="en-US"/>
        </w:rPr>
        <w:t xml:space="preserve"> Covid-19 pandemic </w:t>
      </w:r>
      <w:r w:rsidR="00382E54">
        <w:rPr>
          <w:rFonts w:ascii="Arial" w:hAnsi="Arial" w:cs="Arial"/>
          <w:sz w:val="24"/>
          <w:szCs w:val="24"/>
          <w:lang w:val="en-US"/>
        </w:rPr>
        <w:t>from</w:t>
      </w:r>
      <w:r w:rsidR="006322D1" w:rsidRPr="006322D1">
        <w:rPr>
          <w:rFonts w:ascii="Arial" w:hAnsi="Arial" w:cs="Arial"/>
          <w:sz w:val="24"/>
          <w:szCs w:val="24"/>
          <w:lang w:val="en-US"/>
        </w:rPr>
        <w:t xml:space="preserve"> March 2020 which caused the Monetary Policy Committee to cut Bank Rate in March, first to 0.25% and then to 0.10%, in order to counter the hugely negative impact of the national lockdown on large swathes of the economy.  The Bank of England and the Government also introduced new programmes of supplying the banking system and the economy with massive amounts of cheap credit so that banks could help cash-starved businesses to survive the lockdown.</w:t>
      </w:r>
    </w:p>
    <w:p w:rsidR="009C6E6F" w:rsidRDefault="00860AE7" w:rsidP="007116D7">
      <w:pPr>
        <w:pStyle w:val="BodyText"/>
        <w:spacing w:after="0" w:line="240" w:lineRule="auto"/>
        <w:ind w:left="720" w:hanging="720"/>
        <w:rPr>
          <w:rFonts w:ascii="Arial" w:hAnsi="Arial" w:cs="Arial"/>
          <w:sz w:val="24"/>
          <w:szCs w:val="24"/>
        </w:rPr>
      </w:pPr>
      <w:r w:rsidRPr="00860AE7">
        <w:rPr>
          <w:rFonts w:ascii="Arial" w:hAnsi="Arial" w:cs="Arial"/>
          <w:sz w:val="24"/>
          <w:szCs w:val="24"/>
        </w:rPr>
        <w:t xml:space="preserve"> </w:t>
      </w:r>
    </w:p>
    <w:p w:rsidR="007015DB" w:rsidRDefault="009C6E6F" w:rsidP="009C6E6F">
      <w:pPr>
        <w:pStyle w:val="BodyText"/>
        <w:spacing w:after="0" w:line="240" w:lineRule="auto"/>
        <w:ind w:left="720" w:hanging="720"/>
        <w:rPr>
          <w:rFonts w:ascii="Arial" w:hAnsi="Arial" w:cs="Arial"/>
          <w:sz w:val="24"/>
          <w:szCs w:val="24"/>
        </w:rPr>
      </w:pPr>
      <w:r>
        <w:rPr>
          <w:rFonts w:ascii="Arial" w:hAnsi="Arial" w:cs="Arial"/>
          <w:sz w:val="24"/>
          <w:szCs w:val="24"/>
        </w:rPr>
        <w:t>4.3</w:t>
      </w:r>
      <w:r>
        <w:rPr>
          <w:rFonts w:ascii="Arial" w:hAnsi="Arial" w:cs="Arial"/>
          <w:sz w:val="24"/>
          <w:szCs w:val="24"/>
        </w:rPr>
        <w:tab/>
      </w:r>
      <w:r w:rsidR="00382E54">
        <w:rPr>
          <w:rFonts w:ascii="Arial" w:hAnsi="Arial" w:cs="Arial"/>
          <w:sz w:val="24"/>
          <w:szCs w:val="24"/>
        </w:rPr>
        <w:t>The Government also supplied lar</w:t>
      </w:r>
      <w:r w:rsidR="006322D1" w:rsidRPr="006322D1">
        <w:rPr>
          <w:rFonts w:ascii="Arial" w:hAnsi="Arial" w:cs="Arial"/>
          <w:sz w:val="24"/>
          <w:szCs w:val="24"/>
        </w:rPr>
        <w:t>ge amounts of finance to local authorities to pass on to businesses.  This meant that for most of the year there was much more liquidity in financial markets than there was demand to borrow, with the consequent effect that investment earnings rates plummeted.</w:t>
      </w:r>
    </w:p>
    <w:p w:rsidR="007116D7" w:rsidRPr="00437BBE" w:rsidRDefault="007116D7" w:rsidP="007116D7">
      <w:pPr>
        <w:pStyle w:val="BodyText"/>
        <w:spacing w:after="0" w:line="240" w:lineRule="auto"/>
        <w:ind w:left="720" w:hanging="720"/>
        <w:rPr>
          <w:sz w:val="24"/>
          <w:szCs w:val="24"/>
          <w:highlight w:val="yellow"/>
        </w:rPr>
      </w:pPr>
    </w:p>
    <w:p w:rsidR="007015DB" w:rsidRDefault="0093549A" w:rsidP="0093549A">
      <w:pPr>
        <w:pStyle w:val="BodyText"/>
        <w:spacing w:after="0" w:line="240" w:lineRule="auto"/>
        <w:ind w:left="720" w:hanging="720"/>
        <w:rPr>
          <w:rFonts w:ascii="Arial" w:hAnsi="Arial" w:cs="Arial"/>
          <w:sz w:val="24"/>
          <w:szCs w:val="24"/>
        </w:rPr>
      </w:pPr>
      <w:r>
        <w:rPr>
          <w:rFonts w:ascii="Arial" w:hAnsi="Arial" w:cs="Arial"/>
          <w:sz w:val="24"/>
          <w:szCs w:val="24"/>
        </w:rPr>
        <w:t>4.</w:t>
      </w:r>
      <w:r w:rsidR="009C6E6F">
        <w:rPr>
          <w:rFonts w:ascii="Arial" w:hAnsi="Arial" w:cs="Arial"/>
          <w:sz w:val="24"/>
          <w:szCs w:val="24"/>
        </w:rPr>
        <w:t>4</w:t>
      </w:r>
      <w:r>
        <w:rPr>
          <w:rFonts w:ascii="Arial" w:hAnsi="Arial" w:cs="Arial"/>
          <w:sz w:val="24"/>
          <w:szCs w:val="24"/>
        </w:rPr>
        <w:tab/>
      </w:r>
      <w:r w:rsidR="00860AE7" w:rsidRPr="00860AE7">
        <w:rPr>
          <w:rFonts w:ascii="Arial" w:hAnsi="Arial" w:cs="Arial"/>
          <w:sz w:val="24"/>
          <w:szCs w:val="24"/>
        </w:rPr>
        <w:t>While the Council has taken a cautious approach to investing, it is also fully appreciative of changes to regulatory requirements for financial institutions in terms of additional capital and liquidity that came about in the aftermath of the financial crisis. These requirements have provided a far stronger basis for financial institutions, with annual stress tests by regulators evidencing how institutions are now far more able to cope with extreme stressed market and economic conditions.</w:t>
      </w:r>
    </w:p>
    <w:p w:rsidR="007015DB" w:rsidRPr="00C154D8" w:rsidRDefault="007015DB" w:rsidP="007015DB">
      <w:pPr>
        <w:pStyle w:val="BodyText"/>
        <w:spacing w:after="0" w:line="240" w:lineRule="auto"/>
        <w:rPr>
          <w:rFonts w:ascii="Arial" w:hAnsi="Arial" w:cs="Arial"/>
          <w:sz w:val="24"/>
          <w:szCs w:val="24"/>
        </w:rPr>
      </w:pPr>
    </w:p>
    <w:p w:rsidR="001D1B4C" w:rsidRDefault="0093549A" w:rsidP="00860AE7">
      <w:pPr>
        <w:ind w:left="720" w:hanging="720"/>
        <w:rPr>
          <w:color w:val="0D0D0D" w:themeColor="text1" w:themeTint="F2"/>
          <w:sz w:val="24"/>
          <w:szCs w:val="24"/>
        </w:rPr>
      </w:pPr>
      <w:r>
        <w:rPr>
          <w:sz w:val="24"/>
          <w:szCs w:val="24"/>
        </w:rPr>
        <w:t>4.</w:t>
      </w:r>
      <w:r w:rsidR="009C6E6F">
        <w:rPr>
          <w:sz w:val="24"/>
          <w:szCs w:val="24"/>
        </w:rPr>
        <w:t>5</w:t>
      </w:r>
      <w:r>
        <w:rPr>
          <w:sz w:val="24"/>
          <w:szCs w:val="24"/>
        </w:rPr>
        <w:tab/>
      </w:r>
      <w:r w:rsidR="00860AE7" w:rsidRPr="00860AE7">
        <w:rPr>
          <w:color w:val="0D0D0D" w:themeColor="text1" w:themeTint="F2"/>
          <w:sz w:val="24"/>
          <w:szCs w:val="24"/>
        </w:rPr>
        <w:t>Investment balances have been kept to a minimum through the agreed strategy of using reserves and balances to support internal borrowing, rather than borrowing externally from the financial markets. External borrowing would have incurred an additional cost, due to the differential between borrowing and investment rates. Such an approach has also provided benefits in terms of reducing the counterparty risk exposure, by having fewer investments placed in the financial markets.</w:t>
      </w:r>
    </w:p>
    <w:p w:rsidR="009C6E6F" w:rsidRDefault="009C6E6F" w:rsidP="00860AE7">
      <w:pPr>
        <w:ind w:left="720" w:hanging="720"/>
        <w:rPr>
          <w:sz w:val="24"/>
          <w:szCs w:val="24"/>
        </w:rPr>
      </w:pPr>
    </w:p>
    <w:p w:rsidR="00EE14C5" w:rsidRPr="00EE14C5" w:rsidRDefault="00EE14C5" w:rsidP="00EE14C5">
      <w:pPr>
        <w:tabs>
          <w:tab w:val="left" w:pos="360"/>
        </w:tabs>
        <w:spacing w:after="240"/>
        <w:outlineLvl w:val="1"/>
        <w:rPr>
          <w:b/>
          <w:color w:val="auto"/>
          <w:sz w:val="24"/>
          <w:szCs w:val="24"/>
        </w:rPr>
      </w:pPr>
      <w:r>
        <w:rPr>
          <w:b/>
          <w:color w:val="auto"/>
          <w:sz w:val="24"/>
          <w:szCs w:val="24"/>
        </w:rPr>
        <w:t>5</w:t>
      </w:r>
      <w:r w:rsidRPr="00EE14C5">
        <w:rPr>
          <w:b/>
          <w:color w:val="auto"/>
          <w:sz w:val="24"/>
          <w:szCs w:val="24"/>
        </w:rPr>
        <w:t>.</w:t>
      </w:r>
      <w:r w:rsidRPr="00EE14C5">
        <w:rPr>
          <w:b/>
          <w:color w:val="auto"/>
          <w:sz w:val="24"/>
          <w:szCs w:val="24"/>
        </w:rPr>
        <w:tab/>
      </w:r>
      <w:r w:rsidRPr="00EE14C5">
        <w:rPr>
          <w:b/>
          <w:color w:val="auto"/>
          <w:sz w:val="24"/>
          <w:szCs w:val="24"/>
        </w:rPr>
        <w:tab/>
        <w:t>T</w:t>
      </w:r>
      <w:r>
        <w:rPr>
          <w:b/>
          <w:color w:val="auto"/>
          <w:sz w:val="24"/>
          <w:szCs w:val="24"/>
        </w:rPr>
        <w:t>HE</w:t>
      </w:r>
      <w:r w:rsidRPr="00EE14C5">
        <w:rPr>
          <w:b/>
          <w:color w:val="auto"/>
          <w:sz w:val="24"/>
          <w:szCs w:val="24"/>
        </w:rPr>
        <w:t xml:space="preserve"> E</w:t>
      </w:r>
      <w:r>
        <w:rPr>
          <w:b/>
          <w:color w:val="auto"/>
          <w:sz w:val="24"/>
          <w:szCs w:val="24"/>
        </w:rPr>
        <w:t>CONOMY AND</w:t>
      </w:r>
      <w:r w:rsidRPr="00EE14C5">
        <w:rPr>
          <w:b/>
          <w:color w:val="auto"/>
          <w:sz w:val="24"/>
          <w:szCs w:val="24"/>
        </w:rPr>
        <w:t xml:space="preserve"> I</w:t>
      </w:r>
      <w:r>
        <w:rPr>
          <w:b/>
          <w:color w:val="auto"/>
          <w:sz w:val="24"/>
          <w:szCs w:val="24"/>
        </w:rPr>
        <w:t>NTEREST RATES</w:t>
      </w:r>
      <w:r w:rsidRPr="00EE14C5">
        <w:rPr>
          <w:b/>
          <w:color w:val="auto"/>
          <w:sz w:val="24"/>
          <w:szCs w:val="24"/>
        </w:rPr>
        <w:t xml:space="preserve">  </w:t>
      </w:r>
    </w:p>
    <w:p w:rsidR="00EE14C5" w:rsidRDefault="00D10DE5" w:rsidP="009B4E78">
      <w:pPr>
        <w:ind w:left="720" w:hanging="720"/>
        <w:rPr>
          <w:color w:val="0D0D0D" w:themeColor="text1" w:themeTint="F2"/>
          <w:sz w:val="24"/>
          <w:szCs w:val="24"/>
        </w:rPr>
      </w:pPr>
      <w:r>
        <w:rPr>
          <w:color w:val="auto"/>
          <w:sz w:val="24"/>
          <w:szCs w:val="24"/>
        </w:rPr>
        <w:t xml:space="preserve">5.1 </w:t>
      </w:r>
      <w:r w:rsidRPr="00AA1515">
        <w:rPr>
          <w:color w:val="auto"/>
          <w:sz w:val="24"/>
          <w:szCs w:val="24"/>
        </w:rPr>
        <w:tab/>
      </w:r>
      <w:r w:rsidR="007E2D6C" w:rsidRPr="007E2D6C">
        <w:rPr>
          <w:bCs/>
          <w:color w:val="0D0D0D" w:themeColor="text1" w:themeTint="F2"/>
          <w:sz w:val="24"/>
          <w:szCs w:val="24"/>
          <w:lang w:val="en-GB"/>
        </w:rPr>
        <w:t>The financial year 2020/21 will go down in history as being the year of the pandemic.  The first national loc</w:t>
      </w:r>
      <w:r w:rsidR="00814EC0">
        <w:rPr>
          <w:bCs/>
          <w:color w:val="0D0D0D" w:themeColor="text1" w:themeTint="F2"/>
          <w:sz w:val="24"/>
          <w:szCs w:val="24"/>
          <w:lang w:val="en-GB"/>
        </w:rPr>
        <w:t>kdown in late March 2020 did extensiv</w:t>
      </w:r>
      <w:r w:rsidR="007E2D6C" w:rsidRPr="007E2D6C">
        <w:rPr>
          <w:bCs/>
          <w:color w:val="0D0D0D" w:themeColor="text1" w:themeTint="F2"/>
          <w:sz w:val="24"/>
          <w:szCs w:val="24"/>
          <w:lang w:val="en-GB"/>
        </w:rPr>
        <w:t>e damage to an economy that was unprepared for such an eventuality.  This caused an economic downturn that exceeded the one caused by the financial crisis of 2008/09.  A short second lockdown in November did relatively little damage but by the time of the third lockdown in January 2021, businesses and individuals had become more resilient in adapting to working in new ways during a three month l</w:t>
      </w:r>
      <w:r w:rsidR="00814EC0">
        <w:rPr>
          <w:bCs/>
          <w:color w:val="0D0D0D" w:themeColor="text1" w:themeTint="F2"/>
          <w:sz w:val="24"/>
          <w:szCs w:val="24"/>
          <w:lang w:val="en-GB"/>
        </w:rPr>
        <w:t>ockdown so much less damage</w:t>
      </w:r>
      <w:r w:rsidR="007E2D6C" w:rsidRPr="007E2D6C">
        <w:rPr>
          <w:bCs/>
          <w:color w:val="0D0D0D" w:themeColor="text1" w:themeTint="F2"/>
          <w:sz w:val="24"/>
          <w:szCs w:val="24"/>
          <w:lang w:val="en-GB"/>
        </w:rPr>
        <w:t xml:space="preserve"> was caused than in the first one. The advent of vaccines starting in November 2020, w</w:t>
      </w:r>
      <w:r w:rsidR="00814EC0">
        <w:rPr>
          <w:bCs/>
          <w:color w:val="0D0D0D" w:themeColor="text1" w:themeTint="F2"/>
          <w:sz w:val="24"/>
          <w:szCs w:val="24"/>
          <w:lang w:val="en-GB"/>
        </w:rPr>
        <w:t>as</w:t>
      </w:r>
      <w:r w:rsidR="007E2D6C" w:rsidRPr="007E2D6C">
        <w:rPr>
          <w:bCs/>
          <w:color w:val="0D0D0D" w:themeColor="text1" w:themeTint="F2"/>
          <w:sz w:val="24"/>
          <w:szCs w:val="24"/>
          <w:lang w:val="en-GB"/>
        </w:rPr>
        <w:t xml:space="preserve"> a game changer. The way in which the UK and US have led the world in implementing a fast programme of vaccination which promises to lead to a return to something approaching normal life during the second half of 2021, has been instrumental in speeding economic recovery and the reopening of the economy. In addition, the household saving rate has been exceptionally high since the first lockdown in March 2020 and so there is plenty of pent-up demand and purchasing power stored up for services in the still-depressed sectors like restaurants, travel and hotels as soon as they reopen. It is therefore expected that the UK economy could recover its pre-pandemic level of economic activity during quarter 1 of 2022.</w:t>
      </w:r>
    </w:p>
    <w:p w:rsidR="009B4E78" w:rsidRPr="00EE14C5" w:rsidRDefault="009B4E78" w:rsidP="009B4E78">
      <w:pPr>
        <w:ind w:left="720" w:hanging="720"/>
        <w:rPr>
          <w:color w:val="auto"/>
          <w:sz w:val="24"/>
          <w:szCs w:val="24"/>
        </w:rPr>
      </w:pPr>
    </w:p>
    <w:p w:rsidR="007E2D6C" w:rsidRDefault="00D10DE5" w:rsidP="007E2D6C">
      <w:pPr>
        <w:ind w:left="720" w:hanging="720"/>
        <w:rPr>
          <w:bCs/>
          <w:color w:val="0D0D0D" w:themeColor="text1" w:themeTint="F2"/>
          <w:sz w:val="24"/>
          <w:szCs w:val="24"/>
          <w:lang w:val="en-GB"/>
        </w:rPr>
      </w:pPr>
      <w:r>
        <w:rPr>
          <w:color w:val="auto"/>
          <w:sz w:val="24"/>
          <w:szCs w:val="24"/>
        </w:rPr>
        <w:t xml:space="preserve">5.2 </w:t>
      </w:r>
      <w:r>
        <w:rPr>
          <w:color w:val="auto"/>
          <w:sz w:val="24"/>
          <w:szCs w:val="24"/>
        </w:rPr>
        <w:tab/>
      </w:r>
      <w:r w:rsidR="007E2D6C" w:rsidRPr="007E2D6C">
        <w:rPr>
          <w:bCs/>
          <w:color w:val="0D0D0D" w:themeColor="text1" w:themeTint="F2"/>
          <w:sz w:val="24"/>
          <w:szCs w:val="24"/>
          <w:lang w:val="en-GB"/>
        </w:rPr>
        <w:t xml:space="preserve">Both the Government and the Bank of England took rapid action in March 2020 at the height of the crisis to provide support to financial markets to ensure their proper functioning, and to support the economy and to protect jobs. </w:t>
      </w:r>
    </w:p>
    <w:p w:rsidR="007E2D6C" w:rsidRPr="007E2D6C" w:rsidRDefault="007E2D6C" w:rsidP="007E2D6C">
      <w:pPr>
        <w:ind w:left="720" w:hanging="720"/>
        <w:rPr>
          <w:bCs/>
          <w:color w:val="0D0D0D" w:themeColor="text1" w:themeTint="F2"/>
          <w:sz w:val="24"/>
          <w:szCs w:val="24"/>
          <w:lang w:val="en-GB"/>
        </w:rPr>
      </w:pPr>
    </w:p>
    <w:p w:rsidR="007E2D6C" w:rsidRPr="007E2D6C" w:rsidRDefault="007E2D6C" w:rsidP="007E2D6C">
      <w:pPr>
        <w:ind w:left="720"/>
        <w:rPr>
          <w:bCs/>
          <w:color w:val="0D0D0D" w:themeColor="text1" w:themeTint="F2"/>
          <w:sz w:val="24"/>
          <w:szCs w:val="24"/>
          <w:lang w:val="en-GB"/>
        </w:rPr>
      </w:pPr>
      <w:r w:rsidRPr="007E2D6C">
        <w:rPr>
          <w:bCs/>
          <w:color w:val="0D0D0D" w:themeColor="text1" w:themeTint="F2"/>
          <w:sz w:val="24"/>
          <w:szCs w:val="24"/>
          <w:lang w:val="en-GB"/>
        </w:rPr>
        <w:t xml:space="preserve">The </w:t>
      </w:r>
      <w:r w:rsidRPr="007E2D6C">
        <w:rPr>
          <w:b/>
          <w:bCs/>
          <w:color w:val="0D0D0D" w:themeColor="text1" w:themeTint="F2"/>
          <w:sz w:val="24"/>
          <w:szCs w:val="24"/>
          <w:lang w:val="en-GB"/>
        </w:rPr>
        <w:t>Monetary Policy Committee</w:t>
      </w:r>
      <w:r w:rsidRPr="007E2D6C">
        <w:rPr>
          <w:bCs/>
          <w:color w:val="0D0D0D" w:themeColor="text1" w:themeTint="F2"/>
          <w:sz w:val="24"/>
          <w:szCs w:val="24"/>
          <w:lang w:val="en-GB"/>
        </w:rPr>
        <w:t xml:space="preserve"> cut Bank Rate from 0.75% to 0.25% and then to 0.10% in March 2020 and embarked on a £200bn programme of quantitative easing QE (purchase of gilts so as to reduce borrowing costs throughout the economy by lowering gilt yields). The MPC increased then QE by £100bn in June and by £150bn in November to a total of £895bn. While Bank Rate remained unchanged for the rest of the year, financial markets were concerned that the MPC could cut Bank Rate to a negative rate; this was firmly discounted at the February 2021 MPC meeting when it was established that commercial banks would be unable to implement negative rates for at least six months – by which time the economy was expected to be making a strong recovery and negative rates would no longer be needed.</w:t>
      </w:r>
    </w:p>
    <w:p w:rsidR="00EE14C5" w:rsidRPr="00EE14C5" w:rsidRDefault="00EE14C5" w:rsidP="007E2D6C">
      <w:pPr>
        <w:ind w:left="720" w:hanging="720"/>
        <w:rPr>
          <w:color w:val="auto"/>
          <w:sz w:val="24"/>
          <w:szCs w:val="24"/>
        </w:rPr>
      </w:pPr>
    </w:p>
    <w:p w:rsidR="009B4E78" w:rsidRDefault="00D10DE5" w:rsidP="00017511">
      <w:pPr>
        <w:ind w:left="720" w:hanging="720"/>
        <w:rPr>
          <w:color w:val="0D0D0D" w:themeColor="text1" w:themeTint="F2"/>
          <w:sz w:val="24"/>
          <w:szCs w:val="24"/>
        </w:rPr>
      </w:pPr>
      <w:r>
        <w:rPr>
          <w:color w:val="auto"/>
          <w:sz w:val="24"/>
          <w:szCs w:val="24"/>
        </w:rPr>
        <w:t xml:space="preserve">5.3  </w:t>
      </w:r>
      <w:r>
        <w:rPr>
          <w:color w:val="auto"/>
          <w:sz w:val="24"/>
          <w:szCs w:val="24"/>
        </w:rPr>
        <w:tab/>
      </w:r>
      <w:r w:rsidR="007E2D6C" w:rsidRPr="007E2D6C">
        <w:rPr>
          <w:b/>
          <w:bCs/>
          <w:color w:val="0D0D0D" w:themeColor="text1" w:themeTint="F2"/>
          <w:sz w:val="24"/>
          <w:szCs w:val="24"/>
          <w:lang w:val="en-GB"/>
        </w:rPr>
        <w:t>Average inflation targeting.</w:t>
      </w:r>
      <w:r w:rsidR="007E2D6C" w:rsidRPr="007E2D6C">
        <w:rPr>
          <w:bCs/>
          <w:color w:val="0D0D0D" w:themeColor="text1" w:themeTint="F2"/>
          <w:sz w:val="24"/>
          <w:szCs w:val="24"/>
          <w:lang w:val="en-GB"/>
        </w:rPr>
        <w:t xml:space="preserve"> This was the major change adopted by the Bank of England in terms of implementing its inflation target of 2%.   The key addition to the Bank’s forward guidance in August was a new phrase in the policy statement, namely that “it does not intend to tighten monetary policy until there is clear evidence that significant progress is being made in eliminating spare capacity and achieving the 2% target sustainably”. That seems designed to say, in effect, that even if inflation rises to 2% in a couple of years’ time, do not expect any action from the MPC to raise Bank Rate – until they can clearly see that level of inflation is going to be persistently above target if it takes no action to raise Bank Rate. This sets a high bar for raising Bank Rate and no increase is expected by March 2024, and possibly for as long as five years.  Inflation has been well under 2% during 2020/21; it is expected to briefly peak at just over 2% towards the end of 2021, but this is a temporary </w:t>
      </w:r>
      <w:r w:rsidR="006105A0" w:rsidRPr="007E2D6C">
        <w:rPr>
          <w:bCs/>
          <w:color w:val="0D0D0D" w:themeColor="text1" w:themeTint="F2"/>
          <w:sz w:val="24"/>
          <w:szCs w:val="24"/>
          <w:lang w:val="en-GB"/>
        </w:rPr>
        <w:t>short-lived</w:t>
      </w:r>
      <w:r w:rsidR="007E2D6C" w:rsidRPr="007E2D6C">
        <w:rPr>
          <w:bCs/>
          <w:color w:val="0D0D0D" w:themeColor="text1" w:themeTint="F2"/>
          <w:sz w:val="24"/>
          <w:szCs w:val="24"/>
          <w:lang w:val="en-GB"/>
        </w:rPr>
        <w:t xml:space="preserve"> factor and so not a concern to the MPC.</w:t>
      </w:r>
    </w:p>
    <w:p w:rsidR="002B1ACC" w:rsidRPr="00EE14C5" w:rsidRDefault="002B1ACC" w:rsidP="00017511">
      <w:pPr>
        <w:ind w:left="720" w:hanging="720"/>
        <w:rPr>
          <w:color w:val="auto"/>
          <w:sz w:val="24"/>
          <w:szCs w:val="24"/>
        </w:rPr>
      </w:pPr>
    </w:p>
    <w:p w:rsidR="00EE14C5" w:rsidRDefault="00D10DE5" w:rsidP="009B4E78">
      <w:pPr>
        <w:ind w:left="720" w:hanging="720"/>
        <w:rPr>
          <w:color w:val="0D0D0D" w:themeColor="text1" w:themeTint="F2"/>
          <w:sz w:val="24"/>
          <w:szCs w:val="24"/>
        </w:rPr>
      </w:pPr>
      <w:r>
        <w:rPr>
          <w:color w:val="auto"/>
          <w:sz w:val="24"/>
          <w:szCs w:val="24"/>
        </w:rPr>
        <w:t xml:space="preserve">5.4 </w:t>
      </w:r>
      <w:r>
        <w:rPr>
          <w:color w:val="auto"/>
          <w:sz w:val="24"/>
          <w:szCs w:val="24"/>
        </w:rPr>
        <w:tab/>
      </w:r>
      <w:r w:rsidR="007E2D6C" w:rsidRPr="007E2D6C">
        <w:rPr>
          <w:b/>
          <w:bCs/>
          <w:color w:val="0D0D0D" w:themeColor="text1" w:themeTint="F2"/>
          <w:sz w:val="24"/>
          <w:szCs w:val="24"/>
          <w:lang w:val="en-GB"/>
        </w:rPr>
        <w:t>Government support.</w:t>
      </w:r>
      <w:r w:rsidR="007E2D6C" w:rsidRPr="007E2D6C">
        <w:rPr>
          <w:bCs/>
          <w:color w:val="0D0D0D" w:themeColor="text1" w:themeTint="F2"/>
          <w:sz w:val="24"/>
          <w:szCs w:val="24"/>
          <w:lang w:val="en-GB"/>
        </w:rPr>
        <w:t xml:space="preserve"> The Chancellor has implemented repeated rounds of support to businesses by way of cheap loans and other measures, and has protected jobs by paying for workers to be placed on furloug</w:t>
      </w:r>
      <w:r w:rsidR="001816E4">
        <w:rPr>
          <w:bCs/>
          <w:color w:val="0D0D0D" w:themeColor="text1" w:themeTint="F2"/>
          <w:sz w:val="24"/>
          <w:szCs w:val="24"/>
          <w:lang w:val="en-GB"/>
        </w:rPr>
        <w:t>h. This support has come at a</w:t>
      </w:r>
      <w:r w:rsidR="007E2D6C" w:rsidRPr="007E2D6C">
        <w:rPr>
          <w:bCs/>
          <w:color w:val="0D0D0D" w:themeColor="text1" w:themeTint="F2"/>
          <w:sz w:val="24"/>
          <w:szCs w:val="24"/>
          <w:lang w:val="en-GB"/>
        </w:rPr>
        <w:t xml:space="preserve"> cost in terms of the Government’s budget deficit </w:t>
      </w:r>
      <w:r w:rsidR="001816E4">
        <w:rPr>
          <w:bCs/>
          <w:color w:val="0D0D0D" w:themeColor="text1" w:themeTint="F2"/>
          <w:sz w:val="24"/>
          <w:szCs w:val="24"/>
          <w:lang w:val="en-GB"/>
        </w:rPr>
        <w:t>significantly increas</w:t>
      </w:r>
      <w:r w:rsidR="007E2D6C" w:rsidRPr="007E2D6C">
        <w:rPr>
          <w:bCs/>
          <w:color w:val="0D0D0D" w:themeColor="text1" w:themeTint="F2"/>
          <w:sz w:val="24"/>
          <w:szCs w:val="24"/>
          <w:lang w:val="en-GB"/>
        </w:rPr>
        <w:t>ing in 2</w:t>
      </w:r>
      <w:r w:rsidR="008C002C">
        <w:rPr>
          <w:bCs/>
          <w:color w:val="0D0D0D" w:themeColor="text1" w:themeTint="F2"/>
          <w:sz w:val="24"/>
          <w:szCs w:val="24"/>
          <w:lang w:val="en-GB"/>
        </w:rPr>
        <w:t>020</w:t>
      </w:r>
      <w:r w:rsidR="007E2D6C" w:rsidRPr="007E2D6C">
        <w:rPr>
          <w:bCs/>
          <w:color w:val="0D0D0D" w:themeColor="text1" w:themeTint="F2"/>
          <w:sz w:val="24"/>
          <w:szCs w:val="24"/>
          <w:lang w:val="en-GB"/>
        </w:rPr>
        <w:t xml:space="preserve">/21 and </w:t>
      </w:r>
      <w:r w:rsidR="008C002C">
        <w:rPr>
          <w:bCs/>
          <w:color w:val="0D0D0D" w:themeColor="text1" w:themeTint="F2"/>
          <w:sz w:val="24"/>
          <w:szCs w:val="24"/>
          <w:lang w:val="en-GB"/>
        </w:rPr>
        <w:t>20</w:t>
      </w:r>
      <w:r w:rsidR="007E2D6C" w:rsidRPr="007E2D6C">
        <w:rPr>
          <w:bCs/>
          <w:color w:val="0D0D0D" w:themeColor="text1" w:themeTint="F2"/>
          <w:sz w:val="24"/>
          <w:szCs w:val="24"/>
          <w:lang w:val="en-GB"/>
        </w:rPr>
        <w:t>21/22 so that the Debt to GDP ratio reaches around 100%.  The Budget on 3rd March 2021 increased fiscal support to the economy and employment during 2021 and 2022 followed by substantial tax rises in the following three years to help to pay the cost for the pandemic. This will help further to strengthen the economic recovery from the pandemic and to return the government’s finances to a balanced budget on a current expenditure and income basis in 2025/26. This will stop the Debt to GDP ratio rising further from 100%. An area of concern, though, is that the government’s debt is now twice as sensitive to interest rate rises as before the pandemic due to QE operations substituting fixed long-term debt for floating rate debt; there is, therefore, much incentive for the Government to promote Bank Rate staying low e.g. by using fiscal policy in conjunction with the monetary policy action by the Bank of England to keep inflation from rising too high, and / or by amending the Bank’s policy mandate to allow for a higher target for inflation.</w:t>
      </w:r>
    </w:p>
    <w:p w:rsidR="009B4E78" w:rsidRPr="00EE14C5" w:rsidRDefault="009B4E78" w:rsidP="009B4E78">
      <w:pPr>
        <w:ind w:left="720" w:hanging="720"/>
        <w:rPr>
          <w:color w:val="auto"/>
          <w:sz w:val="24"/>
          <w:szCs w:val="24"/>
        </w:rPr>
      </w:pPr>
    </w:p>
    <w:p w:rsidR="007E2D6C" w:rsidRPr="007E2D6C" w:rsidRDefault="007571F7" w:rsidP="007E2D6C">
      <w:pPr>
        <w:ind w:left="709" w:hanging="709"/>
        <w:rPr>
          <w:bCs/>
          <w:color w:val="auto"/>
          <w:sz w:val="24"/>
          <w:szCs w:val="24"/>
          <w:lang w:val="en-GB"/>
        </w:rPr>
      </w:pPr>
      <w:r>
        <w:rPr>
          <w:color w:val="auto"/>
          <w:sz w:val="24"/>
          <w:szCs w:val="24"/>
        </w:rPr>
        <w:t>5.5</w:t>
      </w:r>
      <w:r>
        <w:rPr>
          <w:color w:val="auto"/>
          <w:sz w:val="24"/>
          <w:szCs w:val="24"/>
        </w:rPr>
        <w:tab/>
      </w:r>
      <w:r w:rsidR="007E2D6C" w:rsidRPr="007E2D6C">
        <w:rPr>
          <w:b/>
          <w:bCs/>
          <w:color w:val="auto"/>
          <w:sz w:val="24"/>
          <w:szCs w:val="24"/>
          <w:lang w:val="en-GB"/>
        </w:rPr>
        <w:t>BREXIT.</w:t>
      </w:r>
      <w:r w:rsidR="007E2D6C" w:rsidRPr="007E2D6C">
        <w:rPr>
          <w:bCs/>
          <w:color w:val="auto"/>
          <w:sz w:val="24"/>
          <w:szCs w:val="24"/>
          <w:lang w:val="en-GB"/>
        </w:rPr>
        <w:t xml:space="preserve"> </w:t>
      </w:r>
      <w:r w:rsidR="007E2D6C" w:rsidRPr="007E2D6C">
        <w:rPr>
          <w:bCs/>
          <w:color w:val="auto"/>
          <w:sz w:val="24"/>
          <w:szCs w:val="24"/>
          <w:lang w:val="en-AU"/>
        </w:rPr>
        <w:t>The final agreement on 24</w:t>
      </w:r>
      <w:r w:rsidR="007E2D6C" w:rsidRPr="007E2D6C">
        <w:rPr>
          <w:bCs/>
          <w:color w:val="auto"/>
          <w:sz w:val="24"/>
          <w:szCs w:val="24"/>
          <w:vertAlign w:val="superscript"/>
          <w:lang w:val="en-AU"/>
        </w:rPr>
        <w:t>th</w:t>
      </w:r>
      <w:r w:rsidR="007E2D6C" w:rsidRPr="007E2D6C">
        <w:rPr>
          <w:bCs/>
          <w:color w:val="auto"/>
          <w:sz w:val="24"/>
          <w:szCs w:val="24"/>
          <w:lang w:val="en-AU"/>
        </w:rPr>
        <w:t xml:space="preserve"> December 2020 eliminated a significant downside risk for the UK economy.  The initial agreement only covered trade so there is further work to be done on the services sector where temporary equivalence has been granted in both directions between the UK and EU; that now needs to be formalised on a permanent basis.  There was much disruption to trade in January as form filling has proved to be a formidable barrier to trade. This appears to have eased somewhat since then but is an area that needs further work to ease difficulties, which are still acute in some areas.</w:t>
      </w:r>
    </w:p>
    <w:p w:rsidR="007571F7" w:rsidRDefault="007571F7" w:rsidP="00B60CE5">
      <w:pPr>
        <w:ind w:left="709" w:hanging="709"/>
        <w:rPr>
          <w:color w:val="auto"/>
          <w:sz w:val="24"/>
          <w:szCs w:val="24"/>
        </w:rPr>
      </w:pPr>
    </w:p>
    <w:p w:rsidR="00B2681B" w:rsidRPr="00B2681B" w:rsidRDefault="007571F7" w:rsidP="00B2681B">
      <w:pPr>
        <w:ind w:left="709" w:hanging="709"/>
        <w:rPr>
          <w:b/>
          <w:bCs/>
          <w:color w:val="0D0D0D" w:themeColor="text1" w:themeTint="F2"/>
          <w:sz w:val="24"/>
          <w:szCs w:val="24"/>
          <w:lang w:val="en-GB"/>
        </w:rPr>
      </w:pPr>
      <w:r>
        <w:rPr>
          <w:color w:val="auto"/>
          <w:sz w:val="24"/>
          <w:szCs w:val="24"/>
        </w:rPr>
        <w:t>5.6</w:t>
      </w:r>
      <w:r w:rsidR="00D10DE5">
        <w:rPr>
          <w:color w:val="auto"/>
          <w:sz w:val="24"/>
          <w:szCs w:val="24"/>
        </w:rPr>
        <w:t xml:space="preserve"> </w:t>
      </w:r>
      <w:r w:rsidR="00D10DE5">
        <w:rPr>
          <w:color w:val="auto"/>
          <w:sz w:val="24"/>
          <w:szCs w:val="24"/>
        </w:rPr>
        <w:tab/>
      </w:r>
      <w:r w:rsidR="00B2681B" w:rsidRPr="00B2681B">
        <w:rPr>
          <w:b/>
          <w:bCs/>
          <w:color w:val="0D0D0D" w:themeColor="text1" w:themeTint="F2"/>
          <w:sz w:val="24"/>
          <w:szCs w:val="24"/>
          <w:lang w:val="en-AU"/>
        </w:rPr>
        <w:t xml:space="preserve">EU. </w:t>
      </w:r>
      <w:r w:rsidR="00B2681B" w:rsidRPr="00B2681B">
        <w:rPr>
          <w:bCs/>
          <w:color w:val="0D0D0D" w:themeColor="text1" w:themeTint="F2"/>
          <w:sz w:val="24"/>
          <w:szCs w:val="24"/>
          <w:lang w:val="en-AU"/>
        </w:rPr>
        <w:t>Both t</w:t>
      </w:r>
      <w:r w:rsidR="00B2681B" w:rsidRPr="00B2681B">
        <w:rPr>
          <w:bCs/>
          <w:color w:val="0D0D0D" w:themeColor="text1" w:themeTint="F2"/>
          <w:sz w:val="24"/>
          <w:szCs w:val="24"/>
          <w:lang w:val="en-GB"/>
        </w:rPr>
        <w:t>he roll out and take up of vaccines has been slow in the EU in 2021</w:t>
      </w:r>
      <w:r w:rsidR="002822BA">
        <w:rPr>
          <w:bCs/>
          <w:color w:val="0D0D0D" w:themeColor="text1" w:themeTint="F2"/>
          <w:sz w:val="24"/>
          <w:szCs w:val="24"/>
          <w:lang w:val="en-GB"/>
        </w:rPr>
        <w:t xml:space="preserve"> which </w:t>
      </w:r>
      <w:r w:rsidR="00B2681B" w:rsidRPr="00B2681B">
        <w:rPr>
          <w:bCs/>
          <w:color w:val="0D0D0D" w:themeColor="text1" w:themeTint="F2"/>
          <w:sz w:val="24"/>
          <w:szCs w:val="24"/>
          <w:lang w:val="en-GB"/>
        </w:rPr>
        <w:t>will inevitably put back economic recovery after the economy had staged a rapid rebound from the first lockdowns in Q3 of 2020 but contracted slightly in Q4 to end 2020 only 4.9% below its pre-pandemic level.  R</w:t>
      </w:r>
      <w:r w:rsidR="00B2681B" w:rsidRPr="00B2681B">
        <w:rPr>
          <w:bCs/>
          <w:color w:val="0D0D0D" w:themeColor="text1" w:themeTint="F2"/>
          <w:sz w:val="24"/>
          <w:szCs w:val="24"/>
          <w:lang w:val="en-AU"/>
        </w:rPr>
        <w:t>ecovery will now be delayed until Q3 of 2021 and a return to pre-pandemic levels is expected in the second half of 2022.</w:t>
      </w:r>
    </w:p>
    <w:p w:rsidR="00B2681B" w:rsidRPr="00B2681B" w:rsidRDefault="00B2681B" w:rsidP="00B2681B">
      <w:pPr>
        <w:ind w:left="709"/>
        <w:rPr>
          <w:bCs/>
          <w:color w:val="0D0D0D" w:themeColor="text1" w:themeTint="F2"/>
          <w:sz w:val="24"/>
          <w:szCs w:val="24"/>
          <w:lang w:val="en-AU"/>
        </w:rPr>
      </w:pPr>
      <w:r w:rsidRPr="00B2681B">
        <w:rPr>
          <w:bCs/>
          <w:color w:val="0D0D0D" w:themeColor="text1" w:themeTint="F2"/>
          <w:sz w:val="24"/>
          <w:szCs w:val="24"/>
          <w:lang w:val="en-AU"/>
        </w:rPr>
        <w:t>Inflation was well under 2% during 2020/21. The ECB did not cut its main rate of -0.5% further into negative territory during 2020/21.  It embarked on a major expansion of its QE operations (PEPP) in March 2020 and added further to that in its</w:t>
      </w:r>
      <w:r w:rsidRPr="00B2681B">
        <w:rPr>
          <w:bCs/>
          <w:color w:val="0D0D0D" w:themeColor="text1" w:themeTint="F2"/>
          <w:sz w:val="24"/>
          <w:szCs w:val="24"/>
          <w:lang w:val="en-GB"/>
        </w:rPr>
        <w:t xml:space="preserve"> December 2020 meeting when it also greatly expanded its programme of providing cheap loans to banks. </w:t>
      </w:r>
      <w:r w:rsidRPr="00B2681B">
        <w:rPr>
          <w:bCs/>
          <w:color w:val="0D0D0D" w:themeColor="text1" w:themeTint="F2"/>
          <w:sz w:val="24"/>
          <w:szCs w:val="24"/>
          <w:lang w:val="en-AU"/>
        </w:rPr>
        <w:t xml:space="preserve">The total PEPP scheme of €1,850bn is providing protection to the sovereign bond yields of weaker countries like Italy. There is, therefore, unlikely to be a euro crisis while the ECB is able to maintain this level of support. </w:t>
      </w:r>
    </w:p>
    <w:p w:rsidR="007571F7" w:rsidRPr="00EE14C5" w:rsidRDefault="007571F7" w:rsidP="00B60CE5">
      <w:pPr>
        <w:ind w:left="709" w:hanging="709"/>
        <w:rPr>
          <w:color w:val="auto"/>
          <w:sz w:val="24"/>
          <w:szCs w:val="24"/>
        </w:rPr>
      </w:pPr>
    </w:p>
    <w:p w:rsidR="00B2681B" w:rsidRPr="00B2681B" w:rsidRDefault="007571F7" w:rsidP="00B2681B">
      <w:pPr>
        <w:ind w:left="709" w:hanging="709"/>
        <w:rPr>
          <w:bCs/>
          <w:color w:val="0D0D0D" w:themeColor="text1" w:themeTint="F2"/>
          <w:sz w:val="24"/>
          <w:szCs w:val="24"/>
          <w:lang w:val="en-GB"/>
        </w:rPr>
      </w:pPr>
      <w:r>
        <w:rPr>
          <w:sz w:val="24"/>
          <w:szCs w:val="24"/>
        </w:rPr>
        <w:t>5.7</w:t>
      </w:r>
      <w:r w:rsidR="00D10DE5">
        <w:rPr>
          <w:sz w:val="24"/>
          <w:szCs w:val="24"/>
        </w:rPr>
        <w:t xml:space="preserve"> </w:t>
      </w:r>
      <w:r w:rsidR="00D10DE5">
        <w:rPr>
          <w:sz w:val="24"/>
          <w:szCs w:val="24"/>
        </w:rPr>
        <w:tab/>
      </w:r>
      <w:r w:rsidR="00B60CE5" w:rsidRPr="00B60CE5">
        <w:rPr>
          <w:b/>
          <w:color w:val="0D0D0D" w:themeColor="text1" w:themeTint="F2"/>
          <w:sz w:val="24"/>
          <w:szCs w:val="24"/>
        </w:rPr>
        <w:t>USA.</w:t>
      </w:r>
      <w:r w:rsidR="00B60CE5" w:rsidRPr="00B60CE5">
        <w:rPr>
          <w:color w:val="0D0D0D" w:themeColor="text1" w:themeTint="F2"/>
          <w:sz w:val="24"/>
          <w:szCs w:val="24"/>
        </w:rPr>
        <w:t xml:space="preserve">  </w:t>
      </w:r>
      <w:r w:rsidR="00B2681B" w:rsidRPr="00B2681B">
        <w:rPr>
          <w:color w:val="0D0D0D" w:themeColor="text1" w:themeTint="F2"/>
          <w:sz w:val="24"/>
          <w:szCs w:val="24"/>
          <w:lang w:val="en-GB"/>
        </w:rPr>
        <w:t xml:space="preserve">The US economy did not suffer as much damage as the UK economy due to the pandemic. </w:t>
      </w:r>
      <w:r w:rsidR="005C64B3">
        <w:rPr>
          <w:bCs/>
          <w:color w:val="0D0D0D" w:themeColor="text1" w:themeTint="F2"/>
          <w:sz w:val="24"/>
          <w:szCs w:val="24"/>
          <w:lang w:val="en-GB"/>
        </w:rPr>
        <w:t>A</w:t>
      </w:r>
      <w:r w:rsidR="00B2681B" w:rsidRPr="00B2681B">
        <w:rPr>
          <w:bCs/>
          <w:color w:val="0D0D0D" w:themeColor="text1" w:themeTint="F2"/>
          <w:sz w:val="24"/>
          <w:szCs w:val="24"/>
          <w:lang w:val="en-GB"/>
        </w:rPr>
        <w:t xml:space="preserve"> $1.9trn (8.8% of GDP) stimulus package</w:t>
      </w:r>
      <w:r w:rsidR="005C64B3">
        <w:rPr>
          <w:bCs/>
          <w:color w:val="0D0D0D" w:themeColor="text1" w:themeTint="F2"/>
          <w:sz w:val="24"/>
          <w:szCs w:val="24"/>
          <w:lang w:val="en-GB"/>
        </w:rPr>
        <w:t xml:space="preserve"> was passed</w:t>
      </w:r>
      <w:r w:rsidR="00B2681B" w:rsidRPr="00B2681B">
        <w:rPr>
          <w:bCs/>
          <w:color w:val="0D0D0D" w:themeColor="text1" w:themeTint="F2"/>
          <w:sz w:val="24"/>
          <w:szCs w:val="24"/>
          <w:lang w:val="en-GB"/>
        </w:rPr>
        <w:t xml:space="preserve"> in March on top of the $900bn fiscal stimulus deal passed by Congress in late December. These, together with the vaccine rollout proceeding swiftly to hit the target of giving a first jab to over half of the population within the President’s first 100 days, will promote a rapid easing of restrictions and strong economic recovery during 2021. </w:t>
      </w:r>
      <w:r w:rsidR="005C64B3">
        <w:rPr>
          <w:bCs/>
          <w:color w:val="0D0D0D" w:themeColor="text1" w:themeTint="F2"/>
          <w:sz w:val="24"/>
          <w:szCs w:val="24"/>
          <w:lang w:val="en-GB"/>
        </w:rPr>
        <w:t>It is also planned</w:t>
      </w:r>
      <w:r w:rsidR="00B2681B" w:rsidRPr="00B2681B">
        <w:rPr>
          <w:bCs/>
          <w:color w:val="0D0D0D" w:themeColor="text1" w:themeTint="F2"/>
          <w:sz w:val="24"/>
          <w:szCs w:val="24"/>
          <w:lang w:val="en-GB"/>
        </w:rPr>
        <w:t xml:space="preserve"> to pass a $2trn fiscal stimulus package aimed at renewing infrastructure over the next decade. Although this package is longer-term, if passed, it would also help economic recovery in the near-term.</w:t>
      </w:r>
    </w:p>
    <w:p w:rsidR="00B2681B" w:rsidRDefault="00B2681B" w:rsidP="00B2681B">
      <w:pPr>
        <w:ind w:left="709"/>
        <w:rPr>
          <w:bCs/>
          <w:color w:val="0D0D0D" w:themeColor="text1" w:themeTint="F2"/>
          <w:sz w:val="24"/>
          <w:szCs w:val="24"/>
          <w:lang w:val="en-GB"/>
        </w:rPr>
      </w:pPr>
      <w:r w:rsidRPr="00B2681B">
        <w:rPr>
          <w:bCs/>
          <w:color w:val="0D0D0D" w:themeColor="text1" w:themeTint="F2"/>
          <w:sz w:val="24"/>
          <w:szCs w:val="24"/>
          <w:lang w:val="en-GB"/>
        </w:rPr>
        <w:t xml:space="preserve">After Chair Jerome Powell spoke on the Fed's adoption of a flexible average inflation target in his Jackson Hole speech in late August 2020, </w:t>
      </w:r>
      <w:r w:rsidRPr="00B2681B">
        <w:rPr>
          <w:bCs/>
          <w:color w:val="0D0D0D" w:themeColor="text1" w:themeTint="F2"/>
          <w:sz w:val="24"/>
          <w:szCs w:val="24"/>
          <w:lang w:val="en-AU"/>
        </w:rPr>
        <w:t xml:space="preserve">the mid-September meeting of the Fed </w:t>
      </w:r>
      <w:r w:rsidRPr="00B2681B">
        <w:rPr>
          <w:bCs/>
          <w:color w:val="0D0D0D" w:themeColor="text1" w:themeTint="F2"/>
          <w:sz w:val="24"/>
          <w:szCs w:val="24"/>
          <w:lang w:val="en-GB"/>
        </w:rPr>
        <w:t xml:space="preserve">agreed a new inflation target - that </w:t>
      </w:r>
      <w:r w:rsidRPr="00B2681B">
        <w:rPr>
          <w:bCs/>
          <w:i/>
          <w:color w:val="0D0D0D" w:themeColor="text1" w:themeTint="F2"/>
          <w:sz w:val="24"/>
          <w:szCs w:val="24"/>
          <w:lang w:val="en-GB"/>
        </w:rPr>
        <w:t xml:space="preserve">"it would likely be appropriate to maintain the current target range until labour market conditions were judged to be consistent with the Committee's assessments of maximum employment and inflation had risen to 2% and was on track to moderately exceed 2% for some time." </w:t>
      </w:r>
      <w:r w:rsidRPr="00B2681B">
        <w:rPr>
          <w:bCs/>
          <w:color w:val="0D0D0D" w:themeColor="text1" w:themeTint="F2"/>
          <w:sz w:val="24"/>
          <w:szCs w:val="24"/>
          <w:lang w:val="en-AU"/>
        </w:rPr>
        <w:t xml:space="preserve">This change was aimed to provide more stimulus for economic growth and higher levels of employment and to avoid the danger of getting caught in a deflationary “trap” like Japan. It is to be noted that inflation has actually been under-shooting the 2% target significantly for most of the last decade, (and this year), so financial markets took note that higher levels of inflation are likely to be in the pipeline; long-term bond yields duly rose after the meeting. There is now some expectation that where the Fed has led in changing its policy towards implementing its inflation and full employment mandate, other major central banks will follow, as indeed the Bank of England has done so already. </w:t>
      </w:r>
      <w:r w:rsidRPr="00B2681B">
        <w:rPr>
          <w:bCs/>
          <w:color w:val="0D0D0D" w:themeColor="text1" w:themeTint="F2"/>
          <w:sz w:val="24"/>
          <w:szCs w:val="24"/>
          <w:lang w:val="en-GB"/>
        </w:rPr>
        <w:t xml:space="preserve">The Fed expects strong economic growth during 2021 to have only a transitory impact on inflation, which explains why the majority of Fed officials project US interest rates to remain near-zero through to the end of 2023. The key message is still that policy will remain unusually accommodative – with near-zero rates and asset purchases – continuing for several more years. This is likely to result in keeping treasury yields at historically low levels.  However, financial markets in 2021 have been concerned that the sheer amount of fiscal stimulus, on top of highly accommodative monetary policy, could be over-kill leading to a rapid elimination of spare capacity in the economy and generating higher inflation much quicker than the Fed expects. They have also been concerned as to how and when the Fed will eventually wind down its programme of monthly QE purchases of treasuries. </w:t>
      </w:r>
      <w:proofErr w:type="gramStart"/>
      <w:r w:rsidRPr="00B2681B">
        <w:rPr>
          <w:bCs/>
          <w:color w:val="0D0D0D" w:themeColor="text1" w:themeTint="F2"/>
          <w:sz w:val="24"/>
          <w:szCs w:val="24"/>
          <w:lang w:val="en-GB"/>
        </w:rPr>
        <w:t>These concerns have pushed treasury yields sharply up in the US in 2021 and is likely to have also exerted some upward pressure on gilt yields in the UK.</w:t>
      </w:r>
      <w:proofErr w:type="gramEnd"/>
    </w:p>
    <w:p w:rsidR="007015DB" w:rsidRDefault="007015DB" w:rsidP="006105A0">
      <w:pPr>
        <w:rPr>
          <w:color w:val="0D0D0D" w:themeColor="text1" w:themeTint="F2"/>
          <w:sz w:val="24"/>
          <w:szCs w:val="24"/>
        </w:rPr>
      </w:pPr>
      <w:bookmarkStart w:id="0" w:name="_GoBack"/>
      <w:bookmarkEnd w:id="0"/>
    </w:p>
    <w:p w:rsidR="007912B5" w:rsidRPr="00C154D8" w:rsidRDefault="007912B5" w:rsidP="007912B5">
      <w:pPr>
        <w:ind w:left="709" w:hanging="709"/>
        <w:rPr>
          <w:sz w:val="24"/>
          <w:szCs w:val="24"/>
        </w:rPr>
      </w:pPr>
    </w:p>
    <w:p w:rsidR="0083678B" w:rsidRDefault="00FB0ABF" w:rsidP="00D50B2A">
      <w:pPr>
        <w:tabs>
          <w:tab w:val="left" w:pos="709"/>
          <w:tab w:val="left" w:pos="993"/>
        </w:tabs>
        <w:ind w:left="709" w:hanging="709"/>
        <w:rPr>
          <w:b/>
          <w:bCs/>
          <w:sz w:val="24"/>
          <w:szCs w:val="24"/>
        </w:rPr>
      </w:pPr>
      <w:r>
        <w:rPr>
          <w:b/>
          <w:bCs/>
          <w:sz w:val="24"/>
          <w:szCs w:val="24"/>
        </w:rPr>
        <w:t>6</w:t>
      </w:r>
      <w:r w:rsidR="00170FA7">
        <w:rPr>
          <w:b/>
          <w:bCs/>
          <w:sz w:val="24"/>
          <w:szCs w:val="24"/>
        </w:rPr>
        <w:t>.</w:t>
      </w:r>
      <w:r w:rsidR="00170FA7">
        <w:rPr>
          <w:b/>
          <w:bCs/>
          <w:sz w:val="24"/>
          <w:szCs w:val="24"/>
        </w:rPr>
        <w:tab/>
      </w:r>
      <w:r w:rsidR="008E5188">
        <w:rPr>
          <w:b/>
          <w:bCs/>
          <w:sz w:val="24"/>
          <w:szCs w:val="24"/>
        </w:rPr>
        <w:t>B</w:t>
      </w:r>
      <w:r w:rsidR="003A73E9">
        <w:rPr>
          <w:b/>
          <w:bCs/>
          <w:sz w:val="24"/>
          <w:szCs w:val="24"/>
        </w:rPr>
        <w:t>ORROWING</w:t>
      </w:r>
    </w:p>
    <w:p w:rsidR="0083678B" w:rsidRDefault="0083678B" w:rsidP="00D50B2A">
      <w:pPr>
        <w:ind w:left="709" w:hanging="709"/>
        <w:rPr>
          <w:sz w:val="24"/>
          <w:szCs w:val="24"/>
        </w:rPr>
      </w:pPr>
    </w:p>
    <w:p w:rsidR="00085FE6" w:rsidRPr="000B1692" w:rsidRDefault="00FB0ABF" w:rsidP="00D50B2A">
      <w:pPr>
        <w:ind w:left="709" w:hanging="709"/>
        <w:rPr>
          <w:sz w:val="24"/>
          <w:szCs w:val="24"/>
        </w:rPr>
      </w:pPr>
      <w:r>
        <w:rPr>
          <w:sz w:val="24"/>
          <w:szCs w:val="24"/>
        </w:rPr>
        <w:t>6</w:t>
      </w:r>
      <w:r w:rsidR="00170FA7">
        <w:rPr>
          <w:sz w:val="24"/>
          <w:szCs w:val="24"/>
        </w:rPr>
        <w:t>.1</w:t>
      </w:r>
      <w:r w:rsidR="00170FA7">
        <w:rPr>
          <w:sz w:val="24"/>
          <w:szCs w:val="24"/>
        </w:rPr>
        <w:tab/>
      </w:r>
      <w:r w:rsidR="008E5188">
        <w:rPr>
          <w:sz w:val="24"/>
          <w:szCs w:val="24"/>
        </w:rPr>
        <w:t xml:space="preserve">Long-term borrowing can only be undertaken by the Council to finance capital expenditure. </w:t>
      </w:r>
      <w:r w:rsidR="00085FE6">
        <w:rPr>
          <w:sz w:val="24"/>
          <w:szCs w:val="24"/>
        </w:rPr>
        <w:t xml:space="preserve"> </w:t>
      </w:r>
      <w:r w:rsidR="00085FE6" w:rsidRPr="00D50B2A">
        <w:rPr>
          <w:sz w:val="24"/>
          <w:szCs w:val="24"/>
        </w:rPr>
        <w:t>The Council’s Capital Financing Requirement (CFR) represents its underlying need to borrow to finance capital investment</w:t>
      </w:r>
      <w:r w:rsidR="00D50B2A">
        <w:rPr>
          <w:sz w:val="24"/>
          <w:szCs w:val="24"/>
        </w:rPr>
        <w:t xml:space="preserve"> as set out in the Trea</w:t>
      </w:r>
      <w:r w:rsidR="008336DF">
        <w:rPr>
          <w:sz w:val="24"/>
          <w:szCs w:val="24"/>
        </w:rPr>
        <w:t>sury Management Strategy for 2020</w:t>
      </w:r>
      <w:r w:rsidR="008C002C">
        <w:rPr>
          <w:sz w:val="24"/>
          <w:szCs w:val="24"/>
        </w:rPr>
        <w:t>/</w:t>
      </w:r>
      <w:r w:rsidR="00DD5C6B">
        <w:rPr>
          <w:sz w:val="24"/>
          <w:szCs w:val="24"/>
        </w:rPr>
        <w:t>2</w:t>
      </w:r>
      <w:r w:rsidR="008336DF">
        <w:rPr>
          <w:sz w:val="24"/>
          <w:szCs w:val="24"/>
        </w:rPr>
        <w:t>1</w:t>
      </w:r>
      <w:r w:rsidR="00786667">
        <w:rPr>
          <w:sz w:val="24"/>
          <w:szCs w:val="24"/>
        </w:rPr>
        <w:t>. D</w:t>
      </w:r>
      <w:r w:rsidR="00085FE6" w:rsidRPr="000B1692">
        <w:rPr>
          <w:sz w:val="24"/>
          <w:szCs w:val="24"/>
        </w:rPr>
        <w:t>uring the period 1 April 20</w:t>
      </w:r>
      <w:r w:rsidR="008336DF">
        <w:rPr>
          <w:sz w:val="24"/>
          <w:szCs w:val="24"/>
        </w:rPr>
        <w:t>20</w:t>
      </w:r>
      <w:r w:rsidR="00085FE6" w:rsidRPr="000B1692">
        <w:rPr>
          <w:sz w:val="24"/>
          <w:szCs w:val="24"/>
        </w:rPr>
        <w:t xml:space="preserve"> to </w:t>
      </w:r>
      <w:r w:rsidR="00DD5C6B">
        <w:rPr>
          <w:sz w:val="24"/>
          <w:szCs w:val="24"/>
        </w:rPr>
        <w:t>31 March 202</w:t>
      </w:r>
      <w:r w:rsidR="008336DF">
        <w:rPr>
          <w:sz w:val="24"/>
          <w:szCs w:val="24"/>
        </w:rPr>
        <w:t>1</w:t>
      </w:r>
      <w:r w:rsidR="00786667">
        <w:rPr>
          <w:sz w:val="24"/>
          <w:szCs w:val="24"/>
        </w:rPr>
        <w:t xml:space="preserve">, </w:t>
      </w:r>
      <w:r w:rsidR="008336DF">
        <w:rPr>
          <w:sz w:val="24"/>
          <w:szCs w:val="24"/>
        </w:rPr>
        <w:t xml:space="preserve">no </w:t>
      </w:r>
      <w:r w:rsidR="00786667">
        <w:rPr>
          <w:sz w:val="24"/>
          <w:szCs w:val="24"/>
        </w:rPr>
        <w:t>new loans were taken</w:t>
      </w:r>
      <w:r w:rsidR="008336DF">
        <w:rPr>
          <w:sz w:val="24"/>
          <w:szCs w:val="24"/>
        </w:rPr>
        <w:t xml:space="preserve"> out</w:t>
      </w:r>
      <w:r w:rsidR="00BC7AD7">
        <w:rPr>
          <w:sz w:val="24"/>
          <w:szCs w:val="24"/>
        </w:rPr>
        <w:t>.</w:t>
      </w:r>
    </w:p>
    <w:p w:rsidR="00085FE6" w:rsidRPr="000B1692" w:rsidRDefault="00085FE6" w:rsidP="00085FE6">
      <w:pPr>
        <w:ind w:left="709" w:hanging="709"/>
        <w:rPr>
          <w:sz w:val="24"/>
          <w:szCs w:val="24"/>
        </w:rPr>
      </w:pPr>
    </w:p>
    <w:p w:rsidR="0083678B" w:rsidRPr="000B1692" w:rsidRDefault="00FB0ABF" w:rsidP="00085FE6">
      <w:pPr>
        <w:ind w:left="709" w:hanging="709"/>
        <w:rPr>
          <w:sz w:val="24"/>
          <w:szCs w:val="24"/>
        </w:rPr>
      </w:pPr>
      <w:r>
        <w:rPr>
          <w:sz w:val="24"/>
          <w:szCs w:val="24"/>
        </w:rPr>
        <w:t>6</w:t>
      </w:r>
      <w:r w:rsidR="00085FE6" w:rsidRPr="000B1692">
        <w:rPr>
          <w:sz w:val="24"/>
          <w:szCs w:val="24"/>
        </w:rPr>
        <w:t>.2</w:t>
      </w:r>
      <w:r w:rsidR="00085FE6" w:rsidRPr="000B1692">
        <w:rPr>
          <w:sz w:val="24"/>
          <w:szCs w:val="24"/>
        </w:rPr>
        <w:tab/>
      </w:r>
      <w:r w:rsidR="008E5188" w:rsidRPr="000B1692">
        <w:rPr>
          <w:sz w:val="24"/>
          <w:szCs w:val="24"/>
        </w:rPr>
        <w:t xml:space="preserve">Short term borrowing is occasionally required for cash flow purposes but the objective is to minimise such requirements in order to maximise interest returns and minimise interest costs. </w:t>
      </w:r>
      <w:r w:rsidR="00170FA7" w:rsidRPr="000B1692">
        <w:rPr>
          <w:sz w:val="24"/>
          <w:szCs w:val="24"/>
        </w:rPr>
        <w:t xml:space="preserve"> </w:t>
      </w:r>
      <w:r w:rsidR="008E5188" w:rsidRPr="000B1692">
        <w:rPr>
          <w:sz w:val="24"/>
          <w:szCs w:val="24"/>
        </w:rPr>
        <w:t>Between 1</w:t>
      </w:r>
      <w:r w:rsidR="00085FE6" w:rsidRPr="000B1692">
        <w:rPr>
          <w:sz w:val="24"/>
          <w:szCs w:val="24"/>
        </w:rPr>
        <w:t xml:space="preserve"> April 20</w:t>
      </w:r>
      <w:r w:rsidR="008336DF">
        <w:rPr>
          <w:sz w:val="24"/>
          <w:szCs w:val="24"/>
        </w:rPr>
        <w:t>20</w:t>
      </w:r>
      <w:r w:rsidR="00085FE6" w:rsidRPr="000B1692">
        <w:rPr>
          <w:sz w:val="24"/>
          <w:szCs w:val="24"/>
        </w:rPr>
        <w:t xml:space="preserve"> and </w:t>
      </w:r>
      <w:r w:rsidR="00BC7AD7">
        <w:rPr>
          <w:sz w:val="24"/>
          <w:szCs w:val="24"/>
        </w:rPr>
        <w:t>3</w:t>
      </w:r>
      <w:r w:rsidR="00085FE6" w:rsidRPr="000B1692">
        <w:rPr>
          <w:sz w:val="24"/>
          <w:szCs w:val="24"/>
        </w:rPr>
        <w:t xml:space="preserve">1 </w:t>
      </w:r>
      <w:r w:rsidR="00BC7AD7">
        <w:rPr>
          <w:sz w:val="24"/>
          <w:szCs w:val="24"/>
        </w:rPr>
        <w:t>March</w:t>
      </w:r>
      <w:r w:rsidR="008336DF">
        <w:rPr>
          <w:sz w:val="24"/>
          <w:szCs w:val="24"/>
        </w:rPr>
        <w:t xml:space="preserve"> 2021</w:t>
      </w:r>
      <w:r w:rsidR="008E5188" w:rsidRPr="000B1692">
        <w:rPr>
          <w:sz w:val="24"/>
          <w:szCs w:val="24"/>
        </w:rPr>
        <w:t xml:space="preserve"> no short term borrowing was required by the Council to meet its cash flow needs.</w:t>
      </w:r>
    </w:p>
    <w:p w:rsidR="0083678B" w:rsidRPr="000B1692" w:rsidRDefault="0083678B" w:rsidP="00085FE6">
      <w:pPr>
        <w:ind w:left="709" w:hanging="709"/>
        <w:rPr>
          <w:sz w:val="24"/>
          <w:szCs w:val="24"/>
        </w:rPr>
      </w:pPr>
    </w:p>
    <w:p w:rsidR="00D70668" w:rsidRDefault="00FB0ABF" w:rsidP="00D70668">
      <w:pPr>
        <w:ind w:left="709" w:hanging="709"/>
        <w:rPr>
          <w:sz w:val="24"/>
          <w:szCs w:val="24"/>
        </w:rPr>
      </w:pPr>
      <w:r>
        <w:rPr>
          <w:sz w:val="24"/>
          <w:szCs w:val="24"/>
        </w:rPr>
        <w:t>6</w:t>
      </w:r>
      <w:r w:rsidR="00170FA7" w:rsidRPr="000B1692">
        <w:rPr>
          <w:sz w:val="24"/>
          <w:szCs w:val="24"/>
        </w:rPr>
        <w:t>.</w:t>
      </w:r>
      <w:r w:rsidR="00085FE6" w:rsidRPr="000B1692">
        <w:rPr>
          <w:sz w:val="24"/>
          <w:szCs w:val="24"/>
        </w:rPr>
        <w:t>3</w:t>
      </w:r>
      <w:r w:rsidR="00170FA7" w:rsidRPr="000B1692">
        <w:rPr>
          <w:sz w:val="24"/>
          <w:szCs w:val="24"/>
        </w:rPr>
        <w:tab/>
      </w:r>
      <w:r w:rsidR="00721562" w:rsidRPr="000E48AC">
        <w:rPr>
          <w:sz w:val="24"/>
          <w:szCs w:val="24"/>
        </w:rPr>
        <w:t>At 31</w:t>
      </w:r>
      <w:r w:rsidR="00403899" w:rsidRPr="000E48AC">
        <w:rPr>
          <w:sz w:val="24"/>
          <w:szCs w:val="24"/>
        </w:rPr>
        <w:t xml:space="preserve"> </w:t>
      </w:r>
      <w:r w:rsidR="00721562" w:rsidRPr="000E48AC">
        <w:rPr>
          <w:sz w:val="24"/>
          <w:szCs w:val="24"/>
        </w:rPr>
        <w:t>March</w:t>
      </w:r>
      <w:r w:rsidR="001D4BB6">
        <w:rPr>
          <w:sz w:val="24"/>
          <w:szCs w:val="24"/>
        </w:rPr>
        <w:t xml:space="preserve"> 202</w:t>
      </w:r>
      <w:r w:rsidR="008336DF">
        <w:rPr>
          <w:sz w:val="24"/>
          <w:szCs w:val="24"/>
        </w:rPr>
        <w:t>1</w:t>
      </w:r>
      <w:r w:rsidR="000E48AC" w:rsidRPr="000E48AC">
        <w:rPr>
          <w:sz w:val="24"/>
          <w:szCs w:val="24"/>
        </w:rPr>
        <w:t xml:space="preserve"> the Council held £</w:t>
      </w:r>
      <w:r w:rsidR="00FC56B5">
        <w:rPr>
          <w:sz w:val="24"/>
          <w:szCs w:val="24"/>
        </w:rPr>
        <w:t>9</w:t>
      </w:r>
      <w:r w:rsidR="008336DF">
        <w:rPr>
          <w:sz w:val="24"/>
          <w:szCs w:val="24"/>
        </w:rPr>
        <w:t>0</w:t>
      </w:r>
      <w:r w:rsidR="00403899" w:rsidRPr="000E48AC">
        <w:rPr>
          <w:sz w:val="24"/>
          <w:szCs w:val="24"/>
        </w:rPr>
        <w:t>.</w:t>
      </w:r>
      <w:r w:rsidR="001D4BB6">
        <w:rPr>
          <w:sz w:val="24"/>
          <w:szCs w:val="24"/>
        </w:rPr>
        <w:t>7</w:t>
      </w:r>
      <w:r w:rsidR="00403899" w:rsidRPr="000E48AC">
        <w:rPr>
          <w:sz w:val="24"/>
          <w:szCs w:val="24"/>
        </w:rPr>
        <w:t xml:space="preserve">m loans (a </w:t>
      </w:r>
      <w:r w:rsidR="008336DF">
        <w:rPr>
          <w:sz w:val="24"/>
          <w:szCs w:val="24"/>
        </w:rPr>
        <w:t>de</w:t>
      </w:r>
      <w:r w:rsidR="00403899" w:rsidRPr="000E48AC">
        <w:rPr>
          <w:sz w:val="24"/>
          <w:szCs w:val="24"/>
        </w:rPr>
        <w:t>crease of £</w:t>
      </w:r>
      <w:r w:rsidR="008336DF">
        <w:rPr>
          <w:sz w:val="24"/>
          <w:szCs w:val="24"/>
        </w:rPr>
        <w:t>6</w:t>
      </w:r>
      <w:r w:rsidR="000E48AC" w:rsidRPr="000E48AC">
        <w:rPr>
          <w:sz w:val="24"/>
          <w:szCs w:val="24"/>
        </w:rPr>
        <w:t>.</w:t>
      </w:r>
      <w:r w:rsidR="008336DF">
        <w:rPr>
          <w:sz w:val="24"/>
          <w:szCs w:val="24"/>
        </w:rPr>
        <w:t>0</w:t>
      </w:r>
      <w:r w:rsidR="000B1692" w:rsidRPr="000E48AC">
        <w:rPr>
          <w:sz w:val="24"/>
          <w:szCs w:val="24"/>
        </w:rPr>
        <w:t>m</w:t>
      </w:r>
      <w:r w:rsidR="008336DF">
        <w:rPr>
          <w:sz w:val="24"/>
          <w:szCs w:val="24"/>
        </w:rPr>
        <w:t xml:space="preserve"> on 31 March 2020</w:t>
      </w:r>
      <w:r w:rsidR="00403899" w:rsidRPr="000E48AC">
        <w:rPr>
          <w:sz w:val="24"/>
          <w:szCs w:val="24"/>
        </w:rPr>
        <w:t>).  The amount owed by the Council has been built up over many years, reflecting the capital investment in the past and the interest rates available at the time.</w:t>
      </w:r>
      <w:r w:rsidR="00403899">
        <w:rPr>
          <w:sz w:val="24"/>
          <w:szCs w:val="24"/>
        </w:rPr>
        <w:t xml:space="preserve"> </w:t>
      </w:r>
    </w:p>
    <w:p w:rsidR="00D70668" w:rsidRDefault="00D70668" w:rsidP="00D70668">
      <w:pPr>
        <w:ind w:left="709" w:hanging="709"/>
        <w:rPr>
          <w:sz w:val="24"/>
          <w:szCs w:val="24"/>
        </w:rPr>
      </w:pPr>
    </w:p>
    <w:p w:rsidR="00403899" w:rsidRDefault="00FB0ABF" w:rsidP="00D70668">
      <w:pPr>
        <w:ind w:left="709" w:hanging="709"/>
        <w:rPr>
          <w:sz w:val="24"/>
          <w:szCs w:val="24"/>
        </w:rPr>
      </w:pPr>
      <w:r>
        <w:rPr>
          <w:sz w:val="24"/>
          <w:szCs w:val="24"/>
        </w:rPr>
        <w:t>6</w:t>
      </w:r>
      <w:r w:rsidR="00D70668">
        <w:rPr>
          <w:sz w:val="24"/>
          <w:szCs w:val="24"/>
        </w:rPr>
        <w:t>.4</w:t>
      </w:r>
      <w:r w:rsidR="00D70668">
        <w:rPr>
          <w:sz w:val="24"/>
          <w:szCs w:val="24"/>
        </w:rPr>
        <w:tab/>
      </w:r>
      <w:r w:rsidR="00403899">
        <w:rPr>
          <w:sz w:val="24"/>
          <w:szCs w:val="24"/>
        </w:rPr>
        <w:t>The portfolio of loans is kept under review to assess whether it would be financially beneficial to restructure or repay any</w:t>
      </w:r>
      <w:r w:rsidR="005C4380">
        <w:rPr>
          <w:sz w:val="24"/>
          <w:szCs w:val="24"/>
        </w:rPr>
        <w:t>. D</w:t>
      </w:r>
      <w:r w:rsidR="000A51E8">
        <w:rPr>
          <w:sz w:val="24"/>
          <w:szCs w:val="24"/>
        </w:rPr>
        <w:t xml:space="preserve">ebt rescheduling opportunities are limited in the current economic climate and due to the structure of interest rates.  Advice in this regard </w:t>
      </w:r>
      <w:r w:rsidR="00C52EC8">
        <w:rPr>
          <w:sz w:val="24"/>
          <w:szCs w:val="24"/>
        </w:rPr>
        <w:t>will continue to be taken from Link</w:t>
      </w:r>
      <w:r w:rsidR="00BF5BF9">
        <w:rPr>
          <w:sz w:val="24"/>
          <w:szCs w:val="24"/>
        </w:rPr>
        <w:t xml:space="preserve"> Asset Services</w:t>
      </w:r>
      <w:r w:rsidR="000A51E8">
        <w:rPr>
          <w:sz w:val="24"/>
          <w:szCs w:val="24"/>
        </w:rPr>
        <w:t xml:space="preserve"> </w:t>
      </w:r>
      <w:r w:rsidR="00D70668" w:rsidRPr="00D70668">
        <w:rPr>
          <w:sz w:val="24"/>
          <w:szCs w:val="24"/>
        </w:rPr>
        <w:t>(The Council’s Treasury Management Consultants)</w:t>
      </w:r>
      <w:r w:rsidR="00D70668">
        <w:rPr>
          <w:sz w:val="24"/>
          <w:szCs w:val="24"/>
        </w:rPr>
        <w:t>.</w:t>
      </w:r>
      <w:r w:rsidR="00D70668" w:rsidRPr="00D70668">
        <w:rPr>
          <w:sz w:val="24"/>
          <w:szCs w:val="24"/>
        </w:rPr>
        <w:t xml:space="preserve"> </w:t>
      </w:r>
      <w:r w:rsidR="00517BF1">
        <w:rPr>
          <w:sz w:val="24"/>
          <w:szCs w:val="24"/>
        </w:rPr>
        <w:t>The premium charge for early repayment of</w:t>
      </w:r>
      <w:r w:rsidR="00C52EC8">
        <w:rPr>
          <w:sz w:val="24"/>
          <w:szCs w:val="24"/>
        </w:rPr>
        <w:t xml:space="preserve"> </w:t>
      </w:r>
      <w:r w:rsidR="00517BF1">
        <w:rPr>
          <w:sz w:val="24"/>
          <w:szCs w:val="24"/>
        </w:rPr>
        <w:t xml:space="preserve">PWLB debt remains relatively expensive for the loans in the Council’s portfolio and therefore unattractive for debt rescheduling activity.  </w:t>
      </w:r>
      <w:r w:rsidR="000A51E8">
        <w:rPr>
          <w:sz w:val="24"/>
          <w:szCs w:val="24"/>
        </w:rPr>
        <w:t>No debt rescheduling has been undertaken du</w:t>
      </w:r>
      <w:r w:rsidR="008336DF">
        <w:rPr>
          <w:sz w:val="24"/>
          <w:szCs w:val="24"/>
        </w:rPr>
        <w:t>ring the period from 1 April 2020</w:t>
      </w:r>
      <w:r w:rsidR="000A51E8">
        <w:rPr>
          <w:sz w:val="24"/>
          <w:szCs w:val="24"/>
        </w:rPr>
        <w:t xml:space="preserve"> to </w:t>
      </w:r>
      <w:r w:rsidR="00721562">
        <w:rPr>
          <w:sz w:val="24"/>
          <w:szCs w:val="24"/>
        </w:rPr>
        <w:t>31 March</w:t>
      </w:r>
      <w:r w:rsidR="001D4BB6">
        <w:rPr>
          <w:sz w:val="24"/>
          <w:szCs w:val="24"/>
        </w:rPr>
        <w:t xml:space="preserve"> 202</w:t>
      </w:r>
      <w:r w:rsidR="008336DF">
        <w:rPr>
          <w:sz w:val="24"/>
          <w:szCs w:val="24"/>
        </w:rPr>
        <w:t>1</w:t>
      </w:r>
      <w:r w:rsidR="000A51E8">
        <w:rPr>
          <w:sz w:val="24"/>
          <w:szCs w:val="24"/>
        </w:rPr>
        <w:t>.</w:t>
      </w:r>
    </w:p>
    <w:p w:rsidR="00403899" w:rsidRDefault="00403899" w:rsidP="00D70668">
      <w:pPr>
        <w:ind w:left="601" w:hanging="601"/>
        <w:rPr>
          <w:sz w:val="24"/>
          <w:szCs w:val="24"/>
        </w:rPr>
      </w:pPr>
    </w:p>
    <w:p w:rsidR="0083678B" w:rsidRDefault="00FB0ABF" w:rsidP="00D70668">
      <w:pPr>
        <w:ind w:left="600" w:hanging="600"/>
        <w:rPr>
          <w:sz w:val="24"/>
          <w:szCs w:val="24"/>
        </w:rPr>
      </w:pPr>
      <w:r>
        <w:rPr>
          <w:sz w:val="24"/>
          <w:szCs w:val="24"/>
        </w:rPr>
        <w:t>6</w:t>
      </w:r>
      <w:r w:rsidR="000A51E8">
        <w:rPr>
          <w:sz w:val="24"/>
          <w:szCs w:val="24"/>
        </w:rPr>
        <w:t>.</w:t>
      </w:r>
      <w:r w:rsidR="00A45EB8">
        <w:rPr>
          <w:sz w:val="24"/>
          <w:szCs w:val="24"/>
        </w:rPr>
        <w:t>5</w:t>
      </w:r>
      <w:r w:rsidR="000A51E8">
        <w:rPr>
          <w:sz w:val="24"/>
          <w:szCs w:val="24"/>
        </w:rPr>
        <w:tab/>
      </w:r>
      <w:r w:rsidR="00403899">
        <w:rPr>
          <w:sz w:val="24"/>
          <w:szCs w:val="24"/>
        </w:rPr>
        <w:t>T</w:t>
      </w:r>
      <w:r w:rsidR="008E5188">
        <w:rPr>
          <w:sz w:val="24"/>
          <w:szCs w:val="24"/>
        </w:rPr>
        <w:t xml:space="preserve">ables 1 and 2 below summarise the long term borrowings outstanding as at </w:t>
      </w:r>
      <w:r w:rsidR="00721562">
        <w:rPr>
          <w:sz w:val="24"/>
          <w:szCs w:val="24"/>
        </w:rPr>
        <w:t>3</w:t>
      </w:r>
      <w:r w:rsidR="008E5188">
        <w:rPr>
          <w:sz w:val="24"/>
          <w:szCs w:val="24"/>
        </w:rPr>
        <w:t xml:space="preserve">1 </w:t>
      </w:r>
      <w:r w:rsidR="00721562">
        <w:rPr>
          <w:sz w:val="24"/>
          <w:szCs w:val="24"/>
        </w:rPr>
        <w:t>March</w:t>
      </w:r>
      <w:r w:rsidR="008336DF">
        <w:rPr>
          <w:sz w:val="24"/>
          <w:szCs w:val="24"/>
        </w:rPr>
        <w:t xml:space="preserve"> 2021</w:t>
      </w:r>
      <w:r w:rsidR="008E5188">
        <w:rPr>
          <w:sz w:val="24"/>
          <w:szCs w:val="24"/>
        </w:rPr>
        <w:t>.</w:t>
      </w:r>
    </w:p>
    <w:p w:rsidR="0083678B" w:rsidRDefault="0083678B" w:rsidP="00D70668">
      <w:pPr>
        <w:ind w:left="600" w:hanging="600"/>
        <w:rPr>
          <w:sz w:val="24"/>
          <w:szCs w:val="24"/>
        </w:rPr>
      </w:pPr>
    </w:p>
    <w:p w:rsidR="0083678B" w:rsidRDefault="00CE0A49" w:rsidP="00373700">
      <w:pPr>
        <w:ind w:left="600"/>
        <w:rPr>
          <w:sz w:val="24"/>
          <w:szCs w:val="24"/>
        </w:rPr>
      </w:pPr>
      <w:r w:rsidRPr="00CE0A49">
        <w:rPr>
          <w:noProof/>
          <w:lang w:val="en-GB"/>
        </w:rPr>
        <w:drawing>
          <wp:inline distT="0" distB="0" distL="0" distR="0">
            <wp:extent cx="5850890" cy="280673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0890" cy="2806731"/>
                    </a:xfrm>
                    <a:prstGeom prst="rect">
                      <a:avLst/>
                    </a:prstGeom>
                    <a:noFill/>
                    <a:ln>
                      <a:noFill/>
                    </a:ln>
                  </pic:spPr>
                </pic:pic>
              </a:graphicData>
            </a:graphic>
          </wp:inline>
        </w:drawing>
      </w:r>
    </w:p>
    <w:p w:rsidR="005C4380" w:rsidRDefault="005C4380" w:rsidP="005C4380">
      <w:pPr>
        <w:ind w:left="567"/>
        <w:rPr>
          <w:sz w:val="24"/>
          <w:szCs w:val="24"/>
        </w:rPr>
      </w:pPr>
    </w:p>
    <w:p w:rsidR="00BC0924" w:rsidRPr="005C4380" w:rsidRDefault="00BC0924" w:rsidP="005C4380">
      <w:pPr>
        <w:ind w:left="567"/>
        <w:rPr>
          <w:sz w:val="24"/>
          <w:szCs w:val="24"/>
        </w:rPr>
      </w:pPr>
    </w:p>
    <w:p w:rsidR="0083678B" w:rsidRDefault="00CE0A49" w:rsidP="00BE7B50">
      <w:pPr>
        <w:ind w:left="600" w:hanging="33"/>
        <w:rPr>
          <w:sz w:val="24"/>
          <w:szCs w:val="24"/>
        </w:rPr>
      </w:pPr>
      <w:r w:rsidRPr="00CE0A49">
        <w:rPr>
          <w:noProof/>
          <w:lang w:val="en-GB"/>
        </w:rPr>
        <w:drawing>
          <wp:inline distT="0" distB="0" distL="0" distR="0">
            <wp:extent cx="5850890" cy="221838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0890" cy="2218389"/>
                    </a:xfrm>
                    <a:prstGeom prst="rect">
                      <a:avLst/>
                    </a:prstGeom>
                    <a:noFill/>
                    <a:ln>
                      <a:noFill/>
                    </a:ln>
                  </pic:spPr>
                </pic:pic>
              </a:graphicData>
            </a:graphic>
          </wp:inline>
        </w:drawing>
      </w:r>
    </w:p>
    <w:p w:rsidR="00AD1D97" w:rsidRDefault="00AD1D97" w:rsidP="00AD1D97">
      <w:pPr>
        <w:ind w:left="600" w:hanging="600"/>
        <w:rPr>
          <w:sz w:val="24"/>
          <w:szCs w:val="24"/>
        </w:rPr>
      </w:pPr>
    </w:p>
    <w:p w:rsidR="00BC0924" w:rsidRDefault="00BC0924" w:rsidP="00AD1D97">
      <w:pPr>
        <w:ind w:left="600" w:hanging="600"/>
        <w:rPr>
          <w:sz w:val="24"/>
          <w:szCs w:val="24"/>
        </w:rPr>
      </w:pPr>
    </w:p>
    <w:p w:rsidR="00AD1D97" w:rsidRPr="00AD1D97" w:rsidRDefault="00FB0ABF" w:rsidP="00AD1D97">
      <w:pPr>
        <w:ind w:left="600" w:hanging="600"/>
        <w:rPr>
          <w:sz w:val="24"/>
          <w:szCs w:val="24"/>
        </w:rPr>
      </w:pPr>
      <w:r>
        <w:rPr>
          <w:sz w:val="24"/>
          <w:szCs w:val="24"/>
        </w:rPr>
        <w:t>6</w:t>
      </w:r>
      <w:r w:rsidR="00A45EB8">
        <w:rPr>
          <w:sz w:val="24"/>
          <w:szCs w:val="24"/>
        </w:rPr>
        <w:t>.6</w:t>
      </w:r>
      <w:r w:rsidR="00641610">
        <w:rPr>
          <w:sz w:val="24"/>
          <w:szCs w:val="24"/>
        </w:rPr>
        <w:tab/>
        <w:t>Details of the £9</w:t>
      </w:r>
      <w:r w:rsidR="00CE0A49">
        <w:rPr>
          <w:sz w:val="24"/>
          <w:szCs w:val="24"/>
        </w:rPr>
        <w:t>0</w:t>
      </w:r>
      <w:r w:rsidR="00AD1D97" w:rsidRPr="00AD1D97">
        <w:rPr>
          <w:sz w:val="24"/>
          <w:szCs w:val="24"/>
        </w:rPr>
        <w:t>.</w:t>
      </w:r>
      <w:r w:rsidR="00CE0A49">
        <w:rPr>
          <w:sz w:val="24"/>
          <w:szCs w:val="24"/>
        </w:rPr>
        <w:t>652</w:t>
      </w:r>
      <w:r w:rsidR="00AD1D97" w:rsidRPr="00AD1D97">
        <w:rPr>
          <w:sz w:val="24"/>
          <w:szCs w:val="24"/>
        </w:rPr>
        <w:t xml:space="preserve"> million shown in </w:t>
      </w:r>
      <w:r w:rsidR="00BC0924">
        <w:rPr>
          <w:sz w:val="24"/>
          <w:szCs w:val="24"/>
        </w:rPr>
        <w:t xml:space="preserve">the tables above </w:t>
      </w:r>
      <w:r w:rsidR="00AD1D97" w:rsidRPr="00AD1D97">
        <w:rPr>
          <w:sz w:val="24"/>
          <w:szCs w:val="24"/>
        </w:rPr>
        <w:t>are as follows:</w:t>
      </w:r>
    </w:p>
    <w:p w:rsidR="00AD1D97" w:rsidRPr="00AD1D97" w:rsidRDefault="00AD1D97" w:rsidP="00BC0924">
      <w:pPr>
        <w:pStyle w:val="ListParagraph"/>
        <w:numPr>
          <w:ilvl w:val="0"/>
          <w:numId w:val="30"/>
        </w:numPr>
        <w:ind w:left="709" w:hanging="109"/>
        <w:rPr>
          <w:sz w:val="24"/>
          <w:szCs w:val="24"/>
        </w:rPr>
      </w:pPr>
      <w:r w:rsidRPr="00AD1D97">
        <w:rPr>
          <w:sz w:val="24"/>
          <w:szCs w:val="24"/>
        </w:rPr>
        <w:t xml:space="preserve">  </w:t>
      </w:r>
      <w:r w:rsidR="00BC0924">
        <w:rPr>
          <w:sz w:val="24"/>
          <w:szCs w:val="24"/>
        </w:rPr>
        <w:t xml:space="preserve">  </w:t>
      </w:r>
      <w:r w:rsidRPr="00AD1D97">
        <w:rPr>
          <w:sz w:val="24"/>
          <w:szCs w:val="24"/>
        </w:rPr>
        <w:t>£</w:t>
      </w:r>
      <w:r w:rsidR="00CE0A49">
        <w:rPr>
          <w:sz w:val="24"/>
          <w:szCs w:val="24"/>
        </w:rPr>
        <w:t>86</w:t>
      </w:r>
      <w:r w:rsidRPr="00AD1D97">
        <w:rPr>
          <w:sz w:val="24"/>
          <w:szCs w:val="24"/>
        </w:rPr>
        <w:t>.</w:t>
      </w:r>
      <w:r w:rsidR="00CE0A49">
        <w:rPr>
          <w:sz w:val="24"/>
          <w:szCs w:val="24"/>
        </w:rPr>
        <w:t>016</w:t>
      </w:r>
      <w:r w:rsidRPr="00AD1D97">
        <w:rPr>
          <w:sz w:val="24"/>
          <w:szCs w:val="24"/>
        </w:rPr>
        <w:t xml:space="preserve"> million is borrowed from the PWLB.</w:t>
      </w:r>
    </w:p>
    <w:p w:rsidR="00AD1D97" w:rsidRPr="00AD1D97" w:rsidRDefault="00AD1D97" w:rsidP="00BC0924">
      <w:pPr>
        <w:pStyle w:val="ListParagraph"/>
        <w:numPr>
          <w:ilvl w:val="0"/>
          <w:numId w:val="30"/>
        </w:numPr>
        <w:ind w:left="993" w:hanging="393"/>
        <w:rPr>
          <w:sz w:val="24"/>
          <w:szCs w:val="24"/>
        </w:rPr>
      </w:pPr>
      <w:r w:rsidRPr="00AD1D97">
        <w:rPr>
          <w:sz w:val="24"/>
          <w:szCs w:val="24"/>
        </w:rPr>
        <w:t>£1</w:t>
      </w:r>
      <w:r w:rsidR="00295A66">
        <w:rPr>
          <w:sz w:val="24"/>
          <w:szCs w:val="24"/>
        </w:rPr>
        <w:t>3</w:t>
      </w:r>
      <w:r w:rsidR="00011CC3">
        <w:rPr>
          <w:sz w:val="24"/>
          <w:szCs w:val="24"/>
        </w:rPr>
        <w:t>6</w:t>
      </w:r>
      <w:r w:rsidRPr="00AD1D97">
        <w:rPr>
          <w:sz w:val="24"/>
          <w:szCs w:val="24"/>
        </w:rPr>
        <w:t xml:space="preserve"> </w:t>
      </w:r>
      <w:r w:rsidR="00295A66">
        <w:rPr>
          <w:sz w:val="24"/>
          <w:szCs w:val="24"/>
        </w:rPr>
        <w:t>thousand</w:t>
      </w:r>
      <w:r w:rsidRPr="00AD1D97">
        <w:rPr>
          <w:sz w:val="24"/>
          <w:szCs w:val="24"/>
        </w:rPr>
        <w:t xml:space="preserve"> is </w:t>
      </w:r>
      <w:r w:rsidR="006105A0" w:rsidRPr="00AD1D97">
        <w:rPr>
          <w:sz w:val="24"/>
          <w:szCs w:val="24"/>
        </w:rPr>
        <w:t>short-term</w:t>
      </w:r>
      <w:r w:rsidRPr="00AD1D97">
        <w:rPr>
          <w:sz w:val="24"/>
          <w:szCs w:val="24"/>
        </w:rPr>
        <w:t xml:space="preserve"> borrowing from the</w:t>
      </w:r>
      <w:r w:rsidR="00295A66">
        <w:rPr>
          <w:sz w:val="24"/>
          <w:szCs w:val="24"/>
        </w:rPr>
        <w:t xml:space="preserve"> Ra</w:t>
      </w:r>
      <w:r w:rsidRPr="00AD1D97">
        <w:rPr>
          <w:sz w:val="24"/>
          <w:szCs w:val="24"/>
        </w:rPr>
        <w:t xml:space="preserve">cecourse Trust. </w:t>
      </w:r>
    </w:p>
    <w:p w:rsidR="00D84613" w:rsidRDefault="00AD1D97" w:rsidP="00D84613">
      <w:pPr>
        <w:pStyle w:val="ListParagraph"/>
        <w:numPr>
          <w:ilvl w:val="0"/>
          <w:numId w:val="30"/>
        </w:numPr>
        <w:ind w:left="709" w:hanging="109"/>
        <w:rPr>
          <w:sz w:val="24"/>
          <w:szCs w:val="24"/>
        </w:rPr>
      </w:pPr>
      <w:r w:rsidRPr="00AD1D97">
        <w:rPr>
          <w:sz w:val="24"/>
          <w:szCs w:val="24"/>
        </w:rPr>
        <w:t xml:space="preserve">  </w:t>
      </w:r>
      <w:r w:rsidR="00BC0924">
        <w:rPr>
          <w:sz w:val="24"/>
          <w:szCs w:val="24"/>
        </w:rPr>
        <w:t xml:space="preserve">  </w:t>
      </w:r>
      <w:r w:rsidRPr="00AD1D97">
        <w:rPr>
          <w:sz w:val="24"/>
          <w:szCs w:val="24"/>
        </w:rPr>
        <w:t>£4.5 million is a market loan.</w:t>
      </w:r>
    </w:p>
    <w:p w:rsidR="00D84613" w:rsidRDefault="00D84613" w:rsidP="00D84613">
      <w:pPr>
        <w:rPr>
          <w:sz w:val="24"/>
          <w:szCs w:val="24"/>
        </w:rPr>
      </w:pPr>
    </w:p>
    <w:p w:rsidR="00B84634" w:rsidRPr="00D84613" w:rsidRDefault="00D84613" w:rsidP="00D84613">
      <w:pPr>
        <w:ind w:left="567" w:hanging="567"/>
        <w:rPr>
          <w:sz w:val="24"/>
          <w:szCs w:val="24"/>
        </w:rPr>
      </w:pPr>
      <w:r>
        <w:rPr>
          <w:sz w:val="24"/>
          <w:szCs w:val="24"/>
        </w:rPr>
        <w:t>6.7</w:t>
      </w:r>
      <w:r>
        <w:rPr>
          <w:sz w:val="24"/>
          <w:szCs w:val="24"/>
        </w:rPr>
        <w:tab/>
        <w:t>A £</w:t>
      </w:r>
      <w:r w:rsidR="00AD69E6">
        <w:rPr>
          <w:sz w:val="24"/>
          <w:szCs w:val="24"/>
        </w:rPr>
        <w:t>1</w:t>
      </w:r>
      <w:r w:rsidR="00E10C7E">
        <w:rPr>
          <w:sz w:val="24"/>
          <w:szCs w:val="24"/>
        </w:rPr>
        <w:t>.</w:t>
      </w:r>
      <w:r w:rsidR="00AD69E6">
        <w:rPr>
          <w:sz w:val="24"/>
          <w:szCs w:val="24"/>
        </w:rPr>
        <w:t>5</w:t>
      </w:r>
      <w:r>
        <w:rPr>
          <w:sz w:val="24"/>
          <w:szCs w:val="24"/>
        </w:rPr>
        <w:t xml:space="preserve"> million PWL</w:t>
      </w:r>
      <w:r w:rsidR="00E10C7E">
        <w:rPr>
          <w:sz w:val="24"/>
          <w:szCs w:val="24"/>
        </w:rPr>
        <w:t>B loan is due for repayment on 2</w:t>
      </w:r>
      <w:r w:rsidR="00AD69E6">
        <w:rPr>
          <w:sz w:val="24"/>
          <w:szCs w:val="24"/>
        </w:rPr>
        <w:t>3</w:t>
      </w:r>
      <w:r>
        <w:rPr>
          <w:sz w:val="24"/>
          <w:szCs w:val="24"/>
        </w:rPr>
        <w:t xml:space="preserve"> </w:t>
      </w:r>
      <w:r w:rsidR="00AD69E6">
        <w:rPr>
          <w:sz w:val="24"/>
          <w:szCs w:val="24"/>
        </w:rPr>
        <w:t>November</w:t>
      </w:r>
      <w:r w:rsidR="00641610">
        <w:rPr>
          <w:sz w:val="24"/>
          <w:szCs w:val="24"/>
        </w:rPr>
        <w:t xml:space="preserve"> 202</w:t>
      </w:r>
      <w:r w:rsidR="00FF7BC8">
        <w:rPr>
          <w:sz w:val="24"/>
          <w:szCs w:val="24"/>
        </w:rPr>
        <w:t>1</w:t>
      </w:r>
      <w:r w:rsidR="00AD69E6">
        <w:rPr>
          <w:sz w:val="24"/>
          <w:szCs w:val="24"/>
        </w:rPr>
        <w:t>, and a further £3.0 million PWLB loan on 28 March 2022.</w:t>
      </w:r>
    </w:p>
    <w:p w:rsidR="00BC0924" w:rsidRDefault="00BC0924" w:rsidP="00BC0924">
      <w:pPr>
        <w:ind w:left="240"/>
        <w:rPr>
          <w:sz w:val="24"/>
          <w:szCs w:val="24"/>
        </w:rPr>
      </w:pPr>
    </w:p>
    <w:p w:rsidR="0083678B" w:rsidRDefault="00FB0ABF" w:rsidP="00F07271">
      <w:pPr>
        <w:pStyle w:val="Header"/>
        <w:rPr>
          <w:b/>
          <w:bCs/>
          <w:sz w:val="24"/>
          <w:szCs w:val="24"/>
        </w:rPr>
      </w:pPr>
      <w:r>
        <w:rPr>
          <w:b/>
          <w:bCs/>
          <w:sz w:val="24"/>
          <w:szCs w:val="24"/>
        </w:rPr>
        <w:t>7</w:t>
      </w:r>
      <w:r w:rsidR="00F07271">
        <w:rPr>
          <w:b/>
          <w:bCs/>
          <w:sz w:val="24"/>
          <w:szCs w:val="24"/>
        </w:rPr>
        <w:t>.</w:t>
      </w:r>
      <w:r w:rsidR="008E5188">
        <w:rPr>
          <w:b/>
          <w:bCs/>
          <w:sz w:val="24"/>
          <w:szCs w:val="24"/>
        </w:rPr>
        <w:t xml:space="preserve">     I</w:t>
      </w:r>
      <w:r w:rsidR="003A73E9">
        <w:rPr>
          <w:b/>
          <w:bCs/>
          <w:sz w:val="24"/>
          <w:szCs w:val="24"/>
        </w:rPr>
        <w:t>NVESTMENTS</w:t>
      </w:r>
    </w:p>
    <w:p w:rsidR="0083678B" w:rsidRDefault="0083678B">
      <w:pPr>
        <w:rPr>
          <w:sz w:val="24"/>
          <w:szCs w:val="24"/>
        </w:rPr>
      </w:pPr>
    </w:p>
    <w:p w:rsidR="0083678B" w:rsidRDefault="00FB0ABF" w:rsidP="00966707">
      <w:pPr>
        <w:ind w:left="567" w:hanging="567"/>
        <w:rPr>
          <w:sz w:val="24"/>
          <w:szCs w:val="24"/>
        </w:rPr>
      </w:pPr>
      <w:r>
        <w:rPr>
          <w:sz w:val="24"/>
          <w:szCs w:val="24"/>
        </w:rPr>
        <w:t>7</w:t>
      </w:r>
      <w:r w:rsidR="00F07271">
        <w:rPr>
          <w:sz w:val="24"/>
          <w:szCs w:val="24"/>
        </w:rPr>
        <w:t xml:space="preserve">.1   </w:t>
      </w:r>
      <w:r w:rsidR="008E5188">
        <w:rPr>
          <w:sz w:val="24"/>
          <w:szCs w:val="24"/>
        </w:rPr>
        <w:t xml:space="preserve">Due to the inherent risk involved in investing </w:t>
      </w:r>
      <w:r w:rsidR="00F07271">
        <w:rPr>
          <w:sz w:val="24"/>
          <w:szCs w:val="24"/>
        </w:rPr>
        <w:t xml:space="preserve">security of capital has remained the Council’s main investment objective.  This has been maintained by following the Council’s counterparty policy as set out in its Treasury </w:t>
      </w:r>
      <w:r w:rsidR="009631E6">
        <w:rPr>
          <w:sz w:val="24"/>
          <w:szCs w:val="24"/>
        </w:rPr>
        <w:t>Management Strategy for 2020</w:t>
      </w:r>
      <w:r w:rsidR="008C002C">
        <w:rPr>
          <w:sz w:val="24"/>
          <w:szCs w:val="24"/>
        </w:rPr>
        <w:t>/</w:t>
      </w:r>
      <w:r w:rsidR="00185EC0">
        <w:rPr>
          <w:sz w:val="24"/>
          <w:szCs w:val="24"/>
        </w:rPr>
        <w:t>2</w:t>
      </w:r>
      <w:r w:rsidR="009631E6">
        <w:rPr>
          <w:sz w:val="24"/>
          <w:szCs w:val="24"/>
        </w:rPr>
        <w:t>1</w:t>
      </w:r>
      <w:r w:rsidR="00F07271">
        <w:rPr>
          <w:sz w:val="24"/>
          <w:szCs w:val="24"/>
        </w:rPr>
        <w:t xml:space="preserve">.  </w:t>
      </w:r>
      <w:r w:rsidR="008E5188">
        <w:rPr>
          <w:sz w:val="24"/>
          <w:szCs w:val="24"/>
        </w:rPr>
        <w:t xml:space="preserve"> </w:t>
      </w:r>
    </w:p>
    <w:p w:rsidR="00CE05F0" w:rsidRDefault="00CE05F0" w:rsidP="00966707">
      <w:pPr>
        <w:ind w:left="567" w:hanging="567"/>
        <w:rPr>
          <w:sz w:val="24"/>
          <w:szCs w:val="24"/>
        </w:rPr>
      </w:pPr>
    </w:p>
    <w:p w:rsidR="00855B4D" w:rsidRDefault="00FB0ABF" w:rsidP="00966707">
      <w:pPr>
        <w:ind w:left="567" w:hanging="567"/>
        <w:rPr>
          <w:sz w:val="24"/>
          <w:szCs w:val="24"/>
        </w:rPr>
      </w:pPr>
      <w:r>
        <w:rPr>
          <w:sz w:val="24"/>
          <w:szCs w:val="24"/>
        </w:rPr>
        <w:t>7</w:t>
      </w:r>
      <w:r w:rsidR="00F07271">
        <w:rPr>
          <w:sz w:val="24"/>
          <w:szCs w:val="24"/>
        </w:rPr>
        <w:t>.2</w:t>
      </w:r>
      <w:r w:rsidR="00F07271">
        <w:rPr>
          <w:sz w:val="24"/>
          <w:szCs w:val="24"/>
        </w:rPr>
        <w:tab/>
      </w:r>
      <w:r w:rsidR="00812E3F">
        <w:rPr>
          <w:sz w:val="24"/>
          <w:szCs w:val="24"/>
        </w:rPr>
        <w:t>At 31</w:t>
      </w:r>
      <w:r w:rsidR="008E5188">
        <w:rPr>
          <w:sz w:val="24"/>
          <w:szCs w:val="24"/>
        </w:rPr>
        <w:t xml:space="preserve"> </w:t>
      </w:r>
      <w:r w:rsidR="00812E3F">
        <w:rPr>
          <w:sz w:val="24"/>
          <w:szCs w:val="24"/>
        </w:rPr>
        <w:t>March</w:t>
      </w:r>
      <w:r w:rsidR="009631E6">
        <w:rPr>
          <w:sz w:val="24"/>
          <w:szCs w:val="24"/>
        </w:rPr>
        <w:t xml:space="preserve"> 2021</w:t>
      </w:r>
      <w:r w:rsidR="008E5188">
        <w:rPr>
          <w:sz w:val="24"/>
          <w:szCs w:val="24"/>
        </w:rPr>
        <w:t xml:space="preserve"> the Council had a to</w:t>
      </w:r>
      <w:r w:rsidR="00E2239B">
        <w:rPr>
          <w:sz w:val="24"/>
          <w:szCs w:val="24"/>
        </w:rPr>
        <w:t>tal of £</w:t>
      </w:r>
      <w:r w:rsidR="00185EC0">
        <w:rPr>
          <w:sz w:val="24"/>
          <w:szCs w:val="24"/>
        </w:rPr>
        <w:t>2</w:t>
      </w:r>
      <w:r w:rsidR="009631E6">
        <w:rPr>
          <w:sz w:val="24"/>
          <w:szCs w:val="24"/>
        </w:rPr>
        <w:t>7</w:t>
      </w:r>
      <w:r w:rsidR="008E5188">
        <w:rPr>
          <w:sz w:val="24"/>
          <w:szCs w:val="24"/>
        </w:rPr>
        <w:t>.</w:t>
      </w:r>
      <w:r w:rsidR="009631E6">
        <w:rPr>
          <w:sz w:val="24"/>
          <w:szCs w:val="24"/>
        </w:rPr>
        <w:t>994</w:t>
      </w:r>
      <w:r w:rsidR="008E5188">
        <w:rPr>
          <w:sz w:val="24"/>
          <w:szCs w:val="24"/>
        </w:rPr>
        <w:t xml:space="preserve"> million invested</w:t>
      </w:r>
      <w:r w:rsidR="008E5188" w:rsidRPr="00855B4D">
        <w:rPr>
          <w:sz w:val="24"/>
          <w:szCs w:val="24"/>
        </w:rPr>
        <w:t>.</w:t>
      </w:r>
      <w:r w:rsidR="00855B4D">
        <w:rPr>
          <w:sz w:val="24"/>
          <w:szCs w:val="24"/>
        </w:rPr>
        <w:t xml:space="preserve">  </w:t>
      </w:r>
      <w:r w:rsidR="00D7411E" w:rsidRPr="00855B4D">
        <w:rPr>
          <w:sz w:val="24"/>
          <w:szCs w:val="24"/>
        </w:rPr>
        <w:t>Table 3 below s</w:t>
      </w:r>
      <w:r w:rsidR="008E5188" w:rsidRPr="00855B4D">
        <w:rPr>
          <w:sz w:val="24"/>
          <w:szCs w:val="24"/>
        </w:rPr>
        <w:t xml:space="preserve">hows where these investments were placed.  </w:t>
      </w:r>
    </w:p>
    <w:p w:rsidR="00854A42" w:rsidRDefault="00854A42" w:rsidP="00966707">
      <w:pPr>
        <w:ind w:left="567" w:hanging="567"/>
        <w:rPr>
          <w:sz w:val="24"/>
          <w:szCs w:val="24"/>
        </w:rPr>
      </w:pPr>
    </w:p>
    <w:p w:rsidR="005C4380" w:rsidRDefault="002B3CC8" w:rsidP="006D4EEF">
      <w:pPr>
        <w:ind w:left="567"/>
        <w:rPr>
          <w:sz w:val="24"/>
          <w:szCs w:val="24"/>
        </w:rPr>
      </w:pPr>
      <w:r w:rsidRPr="002B3CC8">
        <w:rPr>
          <w:noProof/>
          <w:lang w:val="en-GB"/>
        </w:rPr>
        <w:drawing>
          <wp:inline distT="0" distB="0" distL="0" distR="0">
            <wp:extent cx="5657850" cy="2705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7850" cy="2705100"/>
                    </a:xfrm>
                    <a:prstGeom prst="rect">
                      <a:avLst/>
                    </a:prstGeom>
                    <a:noFill/>
                    <a:ln>
                      <a:noFill/>
                    </a:ln>
                  </pic:spPr>
                </pic:pic>
              </a:graphicData>
            </a:graphic>
          </wp:inline>
        </w:drawing>
      </w:r>
    </w:p>
    <w:p w:rsidR="005C4380" w:rsidRDefault="005C4380" w:rsidP="00966707">
      <w:pPr>
        <w:ind w:left="567" w:hanging="567"/>
        <w:rPr>
          <w:sz w:val="24"/>
          <w:szCs w:val="24"/>
        </w:rPr>
      </w:pPr>
    </w:p>
    <w:p w:rsidR="00602744" w:rsidRDefault="00602744" w:rsidP="00966707">
      <w:pPr>
        <w:ind w:left="567" w:hanging="567"/>
        <w:rPr>
          <w:sz w:val="24"/>
          <w:szCs w:val="24"/>
        </w:rPr>
      </w:pPr>
    </w:p>
    <w:p w:rsidR="00855B4D" w:rsidRDefault="00FB0ABF" w:rsidP="00855B4D">
      <w:pPr>
        <w:ind w:left="709" w:hanging="709"/>
        <w:rPr>
          <w:sz w:val="24"/>
          <w:szCs w:val="24"/>
        </w:rPr>
      </w:pPr>
      <w:r>
        <w:rPr>
          <w:sz w:val="24"/>
          <w:szCs w:val="24"/>
        </w:rPr>
        <w:t>7</w:t>
      </w:r>
      <w:r w:rsidR="00855B4D">
        <w:rPr>
          <w:sz w:val="24"/>
          <w:szCs w:val="24"/>
        </w:rPr>
        <w:t>.3</w:t>
      </w:r>
      <w:r w:rsidR="00855B4D">
        <w:rPr>
          <w:sz w:val="24"/>
          <w:szCs w:val="24"/>
        </w:rPr>
        <w:tab/>
      </w:r>
      <w:r w:rsidR="00C150D1">
        <w:rPr>
          <w:sz w:val="24"/>
          <w:szCs w:val="24"/>
        </w:rPr>
        <w:t>A</w:t>
      </w:r>
      <w:r w:rsidR="00D7411E" w:rsidRPr="00D7411E">
        <w:rPr>
          <w:sz w:val="24"/>
          <w:szCs w:val="24"/>
        </w:rPr>
        <w:t xml:space="preserve">ll </w:t>
      </w:r>
      <w:r w:rsidR="00855B4D">
        <w:rPr>
          <w:sz w:val="24"/>
          <w:szCs w:val="24"/>
        </w:rPr>
        <w:t xml:space="preserve">the </w:t>
      </w:r>
      <w:r w:rsidR="00D7411E" w:rsidRPr="00D7411E">
        <w:rPr>
          <w:sz w:val="24"/>
          <w:szCs w:val="24"/>
        </w:rPr>
        <w:t>Council</w:t>
      </w:r>
      <w:r w:rsidR="00855B4D">
        <w:rPr>
          <w:sz w:val="24"/>
          <w:szCs w:val="24"/>
        </w:rPr>
        <w:t>’s</w:t>
      </w:r>
      <w:r w:rsidR="00D7411E" w:rsidRPr="00D7411E">
        <w:rPr>
          <w:sz w:val="24"/>
          <w:szCs w:val="24"/>
        </w:rPr>
        <w:t xml:space="preserve"> investments are within the agreed maximum limits as set out in the Annual Trea</w:t>
      </w:r>
      <w:r w:rsidR="002B3CC8">
        <w:rPr>
          <w:sz w:val="24"/>
          <w:szCs w:val="24"/>
        </w:rPr>
        <w:t>sury Management Strategy for 2020</w:t>
      </w:r>
      <w:r w:rsidR="008C002C">
        <w:rPr>
          <w:sz w:val="24"/>
          <w:szCs w:val="24"/>
        </w:rPr>
        <w:t>/</w:t>
      </w:r>
      <w:r w:rsidR="002B3CC8">
        <w:rPr>
          <w:sz w:val="24"/>
          <w:szCs w:val="24"/>
        </w:rPr>
        <w:t>21</w:t>
      </w:r>
      <w:r w:rsidR="00D7411E" w:rsidRPr="00D7411E">
        <w:rPr>
          <w:sz w:val="24"/>
          <w:szCs w:val="24"/>
        </w:rPr>
        <w:t xml:space="preserve">.  </w:t>
      </w:r>
    </w:p>
    <w:p w:rsidR="00855B4D" w:rsidRDefault="00855B4D" w:rsidP="00855B4D">
      <w:pPr>
        <w:ind w:left="709" w:hanging="709"/>
        <w:rPr>
          <w:sz w:val="24"/>
          <w:szCs w:val="24"/>
        </w:rPr>
      </w:pPr>
    </w:p>
    <w:p w:rsidR="00D7411E" w:rsidRDefault="00FB0ABF" w:rsidP="00855B4D">
      <w:pPr>
        <w:ind w:left="709" w:hanging="709"/>
        <w:rPr>
          <w:sz w:val="24"/>
          <w:szCs w:val="24"/>
        </w:rPr>
      </w:pPr>
      <w:r>
        <w:rPr>
          <w:sz w:val="24"/>
          <w:szCs w:val="24"/>
        </w:rPr>
        <w:t>7</w:t>
      </w:r>
      <w:r w:rsidR="00855B4D">
        <w:rPr>
          <w:sz w:val="24"/>
          <w:szCs w:val="24"/>
        </w:rPr>
        <w:t>.4</w:t>
      </w:r>
      <w:r w:rsidR="00855B4D">
        <w:rPr>
          <w:sz w:val="24"/>
          <w:szCs w:val="24"/>
        </w:rPr>
        <w:tab/>
      </w:r>
      <w:r w:rsidR="00BF34EF">
        <w:rPr>
          <w:sz w:val="24"/>
          <w:szCs w:val="24"/>
        </w:rPr>
        <w:t>2</w:t>
      </w:r>
      <w:r w:rsidR="00BB3A16">
        <w:rPr>
          <w:sz w:val="24"/>
          <w:szCs w:val="24"/>
        </w:rPr>
        <w:t>1</w:t>
      </w:r>
      <w:r w:rsidR="000B13D7">
        <w:rPr>
          <w:sz w:val="24"/>
          <w:szCs w:val="24"/>
        </w:rPr>
        <w:t>.</w:t>
      </w:r>
      <w:r w:rsidR="00BB3A16">
        <w:rPr>
          <w:sz w:val="24"/>
          <w:szCs w:val="24"/>
        </w:rPr>
        <w:t>4</w:t>
      </w:r>
      <w:r w:rsidR="00D7411E" w:rsidRPr="00D7411E">
        <w:rPr>
          <w:sz w:val="24"/>
          <w:szCs w:val="24"/>
        </w:rPr>
        <w:t xml:space="preserve">% </w:t>
      </w:r>
      <w:r w:rsidR="00C65401">
        <w:rPr>
          <w:sz w:val="24"/>
          <w:szCs w:val="24"/>
        </w:rPr>
        <w:t>(£</w:t>
      </w:r>
      <w:r w:rsidR="00185EC0">
        <w:rPr>
          <w:sz w:val="24"/>
          <w:szCs w:val="24"/>
        </w:rPr>
        <w:t>6</w:t>
      </w:r>
      <w:r w:rsidR="00C65401">
        <w:rPr>
          <w:sz w:val="24"/>
          <w:szCs w:val="24"/>
        </w:rPr>
        <w:t>.</w:t>
      </w:r>
      <w:r w:rsidR="00417B5D">
        <w:rPr>
          <w:sz w:val="24"/>
          <w:szCs w:val="24"/>
        </w:rPr>
        <w:t>0</w:t>
      </w:r>
      <w:r w:rsidR="00152F50" w:rsidRPr="00152F50">
        <w:rPr>
          <w:sz w:val="24"/>
          <w:szCs w:val="24"/>
        </w:rPr>
        <w:t>m</w:t>
      </w:r>
      <w:r w:rsidR="00855B4D" w:rsidRPr="00152F50">
        <w:rPr>
          <w:sz w:val="24"/>
          <w:szCs w:val="24"/>
        </w:rPr>
        <w:t>)</w:t>
      </w:r>
      <w:r w:rsidR="00855B4D">
        <w:rPr>
          <w:sz w:val="24"/>
          <w:szCs w:val="24"/>
        </w:rPr>
        <w:t xml:space="preserve"> </w:t>
      </w:r>
      <w:r w:rsidR="00D7411E" w:rsidRPr="00D7411E">
        <w:rPr>
          <w:sz w:val="24"/>
          <w:szCs w:val="24"/>
        </w:rPr>
        <w:t xml:space="preserve">of the Council’s investments are currently held with the Debt Management Office (DMO). These are </w:t>
      </w:r>
      <w:r w:rsidR="006105A0" w:rsidRPr="00D7411E">
        <w:rPr>
          <w:sz w:val="24"/>
          <w:szCs w:val="24"/>
        </w:rPr>
        <w:t>short-term</w:t>
      </w:r>
      <w:r w:rsidR="00D7411E" w:rsidRPr="00D7411E">
        <w:rPr>
          <w:sz w:val="24"/>
          <w:szCs w:val="24"/>
        </w:rPr>
        <w:t xml:space="preserve"> investments of between 1 day and up to 2 months; these are timed to mature to meet specific items of expenditure such as Precept payments and monthly salaries</w:t>
      </w:r>
      <w:r w:rsidR="00BF34EF">
        <w:rPr>
          <w:sz w:val="24"/>
          <w:szCs w:val="24"/>
        </w:rPr>
        <w:t xml:space="preserve">. </w:t>
      </w:r>
    </w:p>
    <w:p w:rsidR="00855B4D" w:rsidRDefault="00855B4D" w:rsidP="00855B4D">
      <w:pPr>
        <w:ind w:left="709" w:hanging="709"/>
        <w:rPr>
          <w:sz w:val="24"/>
          <w:szCs w:val="24"/>
        </w:rPr>
      </w:pPr>
    </w:p>
    <w:p w:rsidR="00D7411E" w:rsidRDefault="00FB0ABF" w:rsidP="00855B4D">
      <w:pPr>
        <w:ind w:left="709" w:hanging="709"/>
        <w:rPr>
          <w:sz w:val="24"/>
          <w:szCs w:val="24"/>
        </w:rPr>
      </w:pPr>
      <w:r>
        <w:rPr>
          <w:sz w:val="24"/>
          <w:szCs w:val="24"/>
        </w:rPr>
        <w:t>7</w:t>
      </w:r>
      <w:r w:rsidR="00855B4D">
        <w:rPr>
          <w:sz w:val="24"/>
          <w:szCs w:val="24"/>
        </w:rPr>
        <w:t>.5</w:t>
      </w:r>
      <w:r w:rsidR="00855B4D">
        <w:rPr>
          <w:sz w:val="24"/>
          <w:szCs w:val="24"/>
        </w:rPr>
        <w:tab/>
      </w:r>
      <w:r w:rsidR="00185EC0">
        <w:rPr>
          <w:sz w:val="24"/>
          <w:szCs w:val="24"/>
        </w:rPr>
        <w:t>2</w:t>
      </w:r>
      <w:r w:rsidR="00BB3A16">
        <w:rPr>
          <w:sz w:val="24"/>
          <w:szCs w:val="24"/>
        </w:rPr>
        <w:t>4</w:t>
      </w:r>
      <w:r w:rsidR="00417B5D">
        <w:rPr>
          <w:sz w:val="24"/>
          <w:szCs w:val="24"/>
        </w:rPr>
        <w:t>.</w:t>
      </w:r>
      <w:r w:rsidR="00BB3A16">
        <w:rPr>
          <w:sz w:val="24"/>
          <w:szCs w:val="24"/>
        </w:rPr>
        <w:t>98</w:t>
      </w:r>
      <w:r w:rsidR="00D7411E" w:rsidRPr="00D7411E">
        <w:rPr>
          <w:sz w:val="24"/>
          <w:szCs w:val="24"/>
        </w:rPr>
        <w:t xml:space="preserve">% </w:t>
      </w:r>
      <w:r w:rsidR="00855B4D" w:rsidRPr="00152F50">
        <w:rPr>
          <w:sz w:val="24"/>
          <w:szCs w:val="24"/>
        </w:rPr>
        <w:t>(£</w:t>
      </w:r>
      <w:r w:rsidR="00BB3A16">
        <w:rPr>
          <w:sz w:val="24"/>
          <w:szCs w:val="24"/>
        </w:rPr>
        <w:t>6</w:t>
      </w:r>
      <w:r w:rsidR="00152F50" w:rsidRPr="00152F50">
        <w:rPr>
          <w:sz w:val="24"/>
          <w:szCs w:val="24"/>
        </w:rPr>
        <w:t>.</w:t>
      </w:r>
      <w:r w:rsidR="00BB3A16">
        <w:rPr>
          <w:sz w:val="24"/>
          <w:szCs w:val="24"/>
        </w:rPr>
        <w:t>994</w:t>
      </w:r>
      <w:r w:rsidR="00152F50" w:rsidRPr="00152F50">
        <w:rPr>
          <w:sz w:val="24"/>
          <w:szCs w:val="24"/>
        </w:rPr>
        <w:t>m</w:t>
      </w:r>
      <w:r w:rsidR="00855B4D" w:rsidRPr="00152F50">
        <w:rPr>
          <w:sz w:val="24"/>
          <w:szCs w:val="24"/>
        </w:rPr>
        <w:t>)</w:t>
      </w:r>
      <w:r w:rsidR="00855B4D">
        <w:rPr>
          <w:sz w:val="24"/>
          <w:szCs w:val="24"/>
        </w:rPr>
        <w:t xml:space="preserve"> </w:t>
      </w:r>
      <w:r w:rsidR="00D7411E" w:rsidRPr="00D7411E">
        <w:rPr>
          <w:sz w:val="24"/>
          <w:szCs w:val="24"/>
        </w:rPr>
        <w:t>of the investments are held in an instant access call account with Svenska Handelsbanken; this is the highest rate of return the Council can achieve with this type of account and provides a balance that can be used instantly if any unexpected expenditure is incurred.</w:t>
      </w:r>
    </w:p>
    <w:p w:rsidR="00855B4D" w:rsidRDefault="00855B4D" w:rsidP="00855B4D">
      <w:pPr>
        <w:ind w:left="709" w:hanging="709"/>
        <w:rPr>
          <w:sz w:val="24"/>
          <w:szCs w:val="24"/>
        </w:rPr>
      </w:pPr>
    </w:p>
    <w:p w:rsidR="00855B4D" w:rsidRPr="00D7411E" w:rsidRDefault="00FB0ABF" w:rsidP="00855B4D">
      <w:pPr>
        <w:ind w:left="709" w:hanging="709"/>
        <w:rPr>
          <w:sz w:val="24"/>
          <w:szCs w:val="24"/>
        </w:rPr>
      </w:pPr>
      <w:r>
        <w:rPr>
          <w:sz w:val="24"/>
          <w:szCs w:val="24"/>
        </w:rPr>
        <w:t>7</w:t>
      </w:r>
      <w:r w:rsidR="00855B4D">
        <w:rPr>
          <w:sz w:val="24"/>
          <w:szCs w:val="24"/>
        </w:rPr>
        <w:t>.6</w:t>
      </w:r>
      <w:r w:rsidR="00855B4D">
        <w:rPr>
          <w:sz w:val="24"/>
          <w:szCs w:val="24"/>
        </w:rPr>
        <w:tab/>
      </w:r>
      <w:r w:rsidR="00855B4D" w:rsidRPr="00855B4D">
        <w:rPr>
          <w:sz w:val="24"/>
          <w:szCs w:val="24"/>
        </w:rPr>
        <w:t xml:space="preserve">The remaining investments </w:t>
      </w:r>
      <w:r w:rsidR="00855B4D" w:rsidRPr="00152F50">
        <w:rPr>
          <w:sz w:val="24"/>
          <w:szCs w:val="24"/>
        </w:rPr>
        <w:t>(£</w:t>
      </w:r>
      <w:r w:rsidR="00BF34EF">
        <w:rPr>
          <w:sz w:val="24"/>
          <w:szCs w:val="24"/>
        </w:rPr>
        <w:t>1</w:t>
      </w:r>
      <w:r w:rsidR="00BB3A16">
        <w:rPr>
          <w:sz w:val="24"/>
          <w:szCs w:val="24"/>
        </w:rPr>
        <w:t>5</w:t>
      </w:r>
      <w:r w:rsidR="00152F50" w:rsidRPr="00152F50">
        <w:rPr>
          <w:sz w:val="24"/>
          <w:szCs w:val="24"/>
        </w:rPr>
        <w:t>m</w:t>
      </w:r>
      <w:r w:rsidR="00855B4D" w:rsidRPr="00152F50">
        <w:rPr>
          <w:sz w:val="24"/>
          <w:szCs w:val="24"/>
        </w:rPr>
        <w:t>)</w:t>
      </w:r>
      <w:r w:rsidR="00855B4D">
        <w:rPr>
          <w:sz w:val="24"/>
          <w:szCs w:val="24"/>
        </w:rPr>
        <w:t xml:space="preserve"> </w:t>
      </w:r>
      <w:r w:rsidR="00855B4D" w:rsidRPr="00855B4D">
        <w:rPr>
          <w:sz w:val="24"/>
          <w:szCs w:val="24"/>
        </w:rPr>
        <w:t xml:space="preserve">are for periods of 3, 6 or 12 months, dependent </w:t>
      </w:r>
      <w:r w:rsidR="00855B4D">
        <w:rPr>
          <w:sz w:val="24"/>
          <w:szCs w:val="24"/>
        </w:rPr>
        <w:t xml:space="preserve">upon </w:t>
      </w:r>
      <w:r w:rsidR="00855B4D" w:rsidRPr="00855B4D">
        <w:rPr>
          <w:sz w:val="24"/>
          <w:szCs w:val="24"/>
        </w:rPr>
        <w:t>credit ratings</w:t>
      </w:r>
      <w:r w:rsidR="00855B4D">
        <w:rPr>
          <w:sz w:val="24"/>
          <w:szCs w:val="24"/>
        </w:rPr>
        <w:t>.</w:t>
      </w:r>
      <w:r w:rsidR="00BF5BF9">
        <w:rPr>
          <w:sz w:val="24"/>
          <w:szCs w:val="24"/>
        </w:rPr>
        <w:t xml:space="preserve">  </w:t>
      </w:r>
      <w:r w:rsidR="00855B4D">
        <w:rPr>
          <w:sz w:val="24"/>
          <w:szCs w:val="24"/>
        </w:rPr>
        <w:t>T</w:t>
      </w:r>
      <w:r w:rsidR="00855B4D" w:rsidRPr="00855B4D">
        <w:rPr>
          <w:sz w:val="24"/>
          <w:szCs w:val="24"/>
        </w:rPr>
        <w:t xml:space="preserve">his also provides better opportunity to take advantage of any increases in interest rates offered when the </w:t>
      </w:r>
      <w:r w:rsidR="006105A0" w:rsidRPr="00855B4D">
        <w:rPr>
          <w:sz w:val="24"/>
          <w:szCs w:val="24"/>
        </w:rPr>
        <w:t>short-term</w:t>
      </w:r>
      <w:r w:rsidR="00855B4D" w:rsidRPr="00855B4D">
        <w:rPr>
          <w:sz w:val="24"/>
          <w:szCs w:val="24"/>
        </w:rPr>
        <w:t xml:space="preserve"> investments mature.</w:t>
      </w:r>
    </w:p>
    <w:p w:rsidR="00D7411E" w:rsidRDefault="00D7411E">
      <w:pPr>
        <w:rPr>
          <w:sz w:val="24"/>
          <w:szCs w:val="24"/>
        </w:rPr>
      </w:pPr>
    </w:p>
    <w:p w:rsidR="0083678B" w:rsidRDefault="00FB0ABF" w:rsidP="00855B4D">
      <w:pPr>
        <w:ind w:left="709" w:hanging="709"/>
        <w:rPr>
          <w:sz w:val="24"/>
          <w:szCs w:val="24"/>
        </w:rPr>
      </w:pPr>
      <w:r>
        <w:rPr>
          <w:sz w:val="24"/>
          <w:szCs w:val="24"/>
        </w:rPr>
        <w:t>7</w:t>
      </w:r>
      <w:r w:rsidR="00855B4D">
        <w:rPr>
          <w:sz w:val="24"/>
          <w:szCs w:val="24"/>
        </w:rPr>
        <w:t>.7</w:t>
      </w:r>
      <w:r w:rsidR="00855B4D">
        <w:rPr>
          <w:sz w:val="24"/>
          <w:szCs w:val="24"/>
        </w:rPr>
        <w:tab/>
      </w:r>
      <w:r w:rsidR="009E1B79" w:rsidRPr="0086639A">
        <w:rPr>
          <w:sz w:val="24"/>
          <w:szCs w:val="24"/>
        </w:rPr>
        <w:t>The</w:t>
      </w:r>
      <w:r w:rsidR="008E5188" w:rsidRPr="0086639A">
        <w:rPr>
          <w:sz w:val="24"/>
          <w:szCs w:val="24"/>
        </w:rPr>
        <w:t xml:space="preserve"> banking contract </w:t>
      </w:r>
      <w:r w:rsidR="009E1B79" w:rsidRPr="0086639A">
        <w:rPr>
          <w:sz w:val="24"/>
          <w:szCs w:val="24"/>
        </w:rPr>
        <w:t>with</w:t>
      </w:r>
      <w:r w:rsidR="008E5188" w:rsidRPr="0086639A">
        <w:rPr>
          <w:sz w:val="24"/>
          <w:szCs w:val="24"/>
        </w:rPr>
        <w:t xml:space="preserve"> Lloyds Bank </w:t>
      </w:r>
      <w:r w:rsidR="009E1B79" w:rsidRPr="0086639A">
        <w:rPr>
          <w:sz w:val="24"/>
          <w:szCs w:val="24"/>
        </w:rPr>
        <w:t xml:space="preserve">was extended until March 2025 </w:t>
      </w:r>
      <w:r w:rsidR="008E5188" w:rsidRPr="0086639A">
        <w:rPr>
          <w:sz w:val="24"/>
          <w:szCs w:val="24"/>
        </w:rPr>
        <w:t>after a competitive tendering process was carried out.</w:t>
      </w:r>
    </w:p>
    <w:p w:rsidR="0083678B" w:rsidRDefault="0083678B">
      <w:pPr>
        <w:ind w:left="720"/>
        <w:rPr>
          <w:sz w:val="24"/>
          <w:szCs w:val="24"/>
        </w:rPr>
      </w:pPr>
    </w:p>
    <w:p w:rsidR="0083678B" w:rsidRDefault="00FB0ABF">
      <w:pPr>
        <w:ind w:left="720" w:hanging="720"/>
        <w:rPr>
          <w:sz w:val="24"/>
          <w:szCs w:val="24"/>
        </w:rPr>
      </w:pPr>
      <w:r>
        <w:rPr>
          <w:sz w:val="24"/>
          <w:szCs w:val="24"/>
        </w:rPr>
        <w:t>7</w:t>
      </w:r>
      <w:r w:rsidR="00855B4D">
        <w:rPr>
          <w:sz w:val="24"/>
          <w:szCs w:val="24"/>
        </w:rPr>
        <w:t>.8</w:t>
      </w:r>
      <w:r w:rsidR="008E5188">
        <w:rPr>
          <w:sz w:val="24"/>
          <w:szCs w:val="24"/>
        </w:rPr>
        <w:t xml:space="preserve"> </w:t>
      </w:r>
      <w:r w:rsidR="008E5188">
        <w:rPr>
          <w:sz w:val="24"/>
          <w:szCs w:val="24"/>
        </w:rPr>
        <w:tab/>
        <w:t>In order for the Council to be able to meets its liabilities it was agreed that a maximum balance of £</w:t>
      </w:r>
      <w:r w:rsidR="00BB3A16">
        <w:rPr>
          <w:sz w:val="24"/>
          <w:szCs w:val="24"/>
        </w:rPr>
        <w:t>3</w:t>
      </w:r>
      <w:r w:rsidR="00BF5BF9">
        <w:rPr>
          <w:sz w:val="24"/>
          <w:szCs w:val="24"/>
        </w:rPr>
        <w:t xml:space="preserve"> </w:t>
      </w:r>
      <w:r w:rsidR="008E5188">
        <w:rPr>
          <w:sz w:val="24"/>
          <w:szCs w:val="24"/>
        </w:rPr>
        <w:t>m</w:t>
      </w:r>
      <w:r w:rsidR="004C7263">
        <w:rPr>
          <w:sz w:val="24"/>
          <w:szCs w:val="24"/>
        </w:rPr>
        <w:t>illion</w:t>
      </w:r>
      <w:r w:rsidR="008E5188">
        <w:rPr>
          <w:sz w:val="24"/>
          <w:szCs w:val="24"/>
        </w:rPr>
        <w:t xml:space="preserve"> could be held in the Lloyds current account. </w:t>
      </w:r>
      <w:r w:rsidR="003A73E9">
        <w:rPr>
          <w:sz w:val="24"/>
          <w:szCs w:val="24"/>
        </w:rPr>
        <w:t xml:space="preserve"> </w:t>
      </w:r>
      <w:r w:rsidR="008E5188">
        <w:rPr>
          <w:sz w:val="24"/>
          <w:szCs w:val="24"/>
        </w:rPr>
        <w:t>This balance is in addition to the approved level of fixed term investments that can be held with the Lloyds banking group in accordance with the criteria as set out in the Treasury Management Strategy.</w:t>
      </w:r>
    </w:p>
    <w:p w:rsidR="0083678B" w:rsidRDefault="0083678B">
      <w:pPr>
        <w:ind w:left="720" w:hanging="720"/>
        <w:rPr>
          <w:sz w:val="24"/>
          <w:szCs w:val="24"/>
          <w:shd w:val="clear" w:color="auto" w:fill="FFFF00"/>
        </w:rPr>
      </w:pPr>
    </w:p>
    <w:p w:rsidR="00517BF1" w:rsidRDefault="00FB0ABF" w:rsidP="00517BF1">
      <w:pPr>
        <w:ind w:left="720" w:hanging="720"/>
        <w:rPr>
          <w:sz w:val="24"/>
          <w:szCs w:val="24"/>
        </w:rPr>
      </w:pPr>
      <w:r>
        <w:rPr>
          <w:sz w:val="24"/>
          <w:szCs w:val="24"/>
        </w:rPr>
        <w:t>7</w:t>
      </w:r>
      <w:r w:rsidR="00A652EC" w:rsidRPr="00A652EC">
        <w:rPr>
          <w:sz w:val="24"/>
          <w:szCs w:val="24"/>
        </w:rPr>
        <w:t>.</w:t>
      </w:r>
      <w:r w:rsidR="00BF34EF">
        <w:rPr>
          <w:sz w:val="24"/>
          <w:szCs w:val="24"/>
        </w:rPr>
        <w:t>9</w:t>
      </w:r>
      <w:r w:rsidR="00A652EC" w:rsidRPr="00A652EC">
        <w:rPr>
          <w:sz w:val="24"/>
          <w:szCs w:val="24"/>
        </w:rPr>
        <w:tab/>
        <w:t xml:space="preserve">Appendix </w:t>
      </w:r>
      <w:r w:rsidR="00D54AD9">
        <w:rPr>
          <w:sz w:val="24"/>
          <w:szCs w:val="24"/>
        </w:rPr>
        <w:t>2</w:t>
      </w:r>
      <w:r w:rsidR="00517BF1" w:rsidRPr="00A652EC">
        <w:rPr>
          <w:sz w:val="24"/>
          <w:szCs w:val="24"/>
        </w:rPr>
        <w:t xml:space="preserve"> </w:t>
      </w:r>
      <w:r w:rsidR="00A652EC">
        <w:rPr>
          <w:sz w:val="24"/>
          <w:szCs w:val="24"/>
        </w:rPr>
        <w:t xml:space="preserve">is the Counterparty list </w:t>
      </w:r>
      <w:r w:rsidR="00D26928">
        <w:rPr>
          <w:sz w:val="24"/>
          <w:szCs w:val="24"/>
        </w:rPr>
        <w:t>at 31 March 202</w:t>
      </w:r>
      <w:r w:rsidR="00ED0DCD">
        <w:rPr>
          <w:sz w:val="24"/>
          <w:szCs w:val="24"/>
        </w:rPr>
        <w:t>1</w:t>
      </w:r>
      <w:r w:rsidR="00672287">
        <w:rPr>
          <w:sz w:val="24"/>
          <w:szCs w:val="24"/>
        </w:rPr>
        <w:t xml:space="preserve"> </w:t>
      </w:r>
      <w:r w:rsidR="00A652EC">
        <w:rPr>
          <w:sz w:val="24"/>
          <w:szCs w:val="24"/>
        </w:rPr>
        <w:t>which uses information extracted from cre</w:t>
      </w:r>
      <w:r w:rsidR="00036D1A">
        <w:rPr>
          <w:sz w:val="24"/>
          <w:szCs w:val="24"/>
        </w:rPr>
        <w:t>dit rating reports supplied by Link</w:t>
      </w:r>
      <w:r w:rsidR="00A652EC">
        <w:rPr>
          <w:sz w:val="24"/>
          <w:szCs w:val="24"/>
        </w:rPr>
        <w:t>.</w:t>
      </w:r>
      <w:r w:rsidR="00D57EE3">
        <w:rPr>
          <w:sz w:val="24"/>
          <w:szCs w:val="24"/>
        </w:rPr>
        <w:t xml:space="preserve">  </w:t>
      </w:r>
      <w:r w:rsidR="00A652EC">
        <w:rPr>
          <w:sz w:val="24"/>
          <w:szCs w:val="24"/>
        </w:rPr>
        <w:t>This is updated on a weekly basis and shows all the counterparties that meet the minimum criteria for short term, long term and sovereign ratings as defined in the Annual Treasury Manag</w:t>
      </w:r>
      <w:r w:rsidR="00D57EE3">
        <w:rPr>
          <w:sz w:val="24"/>
          <w:szCs w:val="24"/>
        </w:rPr>
        <w:t xml:space="preserve">ement Strategy.  </w:t>
      </w:r>
      <w:r w:rsidR="00A652EC">
        <w:rPr>
          <w:sz w:val="24"/>
          <w:szCs w:val="24"/>
        </w:rPr>
        <w:t xml:space="preserve">Some of these counterparties </w:t>
      </w:r>
      <w:r w:rsidR="00BF5BF9">
        <w:rPr>
          <w:sz w:val="24"/>
          <w:szCs w:val="24"/>
        </w:rPr>
        <w:t xml:space="preserve">are </w:t>
      </w:r>
      <w:r w:rsidR="00A652EC">
        <w:rPr>
          <w:sz w:val="24"/>
          <w:szCs w:val="24"/>
        </w:rPr>
        <w:t xml:space="preserve">unavailable to </w:t>
      </w:r>
      <w:r w:rsidR="00BF5BF9">
        <w:rPr>
          <w:sz w:val="24"/>
          <w:szCs w:val="24"/>
        </w:rPr>
        <w:t xml:space="preserve">the Council </w:t>
      </w:r>
      <w:r w:rsidR="00A652EC">
        <w:rPr>
          <w:sz w:val="24"/>
          <w:szCs w:val="24"/>
        </w:rPr>
        <w:t>for various reasons</w:t>
      </w:r>
      <w:r w:rsidR="00BF5BF9">
        <w:rPr>
          <w:sz w:val="24"/>
          <w:szCs w:val="24"/>
        </w:rPr>
        <w:t>;</w:t>
      </w:r>
      <w:r w:rsidR="00A652EC">
        <w:rPr>
          <w:sz w:val="24"/>
          <w:szCs w:val="24"/>
        </w:rPr>
        <w:t xml:space="preserve"> such as minimum investment levels or minimum lengths of investments which are above </w:t>
      </w:r>
      <w:r w:rsidR="00BF5BF9">
        <w:rPr>
          <w:sz w:val="24"/>
          <w:szCs w:val="24"/>
        </w:rPr>
        <w:t xml:space="preserve">the approved </w:t>
      </w:r>
      <w:r w:rsidR="00A652EC">
        <w:rPr>
          <w:sz w:val="24"/>
          <w:szCs w:val="24"/>
        </w:rPr>
        <w:t>maximum limits.</w:t>
      </w:r>
    </w:p>
    <w:p w:rsidR="0083678B" w:rsidRDefault="0083678B">
      <w:pPr>
        <w:ind w:left="720" w:hanging="11"/>
        <w:rPr>
          <w:sz w:val="24"/>
          <w:szCs w:val="24"/>
          <w:shd w:val="clear" w:color="auto" w:fill="FFFF00"/>
        </w:rPr>
      </w:pPr>
    </w:p>
    <w:p w:rsidR="0083678B" w:rsidRDefault="00FB0ABF">
      <w:pPr>
        <w:rPr>
          <w:b/>
          <w:bCs/>
          <w:sz w:val="24"/>
          <w:szCs w:val="24"/>
        </w:rPr>
      </w:pPr>
      <w:r>
        <w:rPr>
          <w:rFonts w:eastAsia="Arial Unicode MS" w:cs="Arial Unicode MS"/>
          <w:b/>
          <w:bCs/>
          <w:sz w:val="24"/>
          <w:szCs w:val="24"/>
        </w:rPr>
        <w:t>8</w:t>
      </w:r>
      <w:r w:rsidR="004C7263">
        <w:rPr>
          <w:rFonts w:eastAsia="Arial Unicode MS" w:cs="Arial Unicode MS"/>
          <w:b/>
          <w:bCs/>
          <w:sz w:val="24"/>
          <w:szCs w:val="24"/>
        </w:rPr>
        <w:t>.</w:t>
      </w:r>
      <w:r w:rsidR="004C7263">
        <w:rPr>
          <w:rFonts w:eastAsia="Arial Unicode MS" w:cs="Arial Unicode MS"/>
          <w:b/>
          <w:bCs/>
          <w:sz w:val="24"/>
          <w:szCs w:val="24"/>
        </w:rPr>
        <w:tab/>
      </w:r>
      <w:r w:rsidR="008E5188">
        <w:rPr>
          <w:rFonts w:eastAsia="Arial Unicode MS" w:cs="Arial Unicode MS"/>
          <w:b/>
          <w:bCs/>
          <w:sz w:val="24"/>
          <w:szCs w:val="24"/>
        </w:rPr>
        <w:t>R</w:t>
      </w:r>
      <w:r w:rsidR="00517BF1">
        <w:rPr>
          <w:rFonts w:eastAsia="Arial Unicode MS" w:cs="Arial Unicode MS"/>
          <w:b/>
          <w:bCs/>
          <w:sz w:val="24"/>
          <w:szCs w:val="24"/>
        </w:rPr>
        <w:t>ATE OF RETURN</w:t>
      </w:r>
    </w:p>
    <w:p w:rsidR="0083678B" w:rsidRDefault="0083678B">
      <w:pPr>
        <w:rPr>
          <w:b/>
          <w:bCs/>
          <w:sz w:val="24"/>
          <w:szCs w:val="24"/>
        </w:rPr>
      </w:pPr>
    </w:p>
    <w:p w:rsidR="0083678B" w:rsidRDefault="00FB0ABF" w:rsidP="003A73E9">
      <w:pPr>
        <w:ind w:left="709" w:hanging="709"/>
        <w:rPr>
          <w:sz w:val="24"/>
          <w:szCs w:val="24"/>
        </w:rPr>
      </w:pPr>
      <w:r>
        <w:rPr>
          <w:sz w:val="24"/>
          <w:szCs w:val="24"/>
        </w:rPr>
        <w:t>8</w:t>
      </w:r>
      <w:r w:rsidR="004C7263">
        <w:rPr>
          <w:sz w:val="24"/>
          <w:szCs w:val="24"/>
        </w:rPr>
        <w:t>.1</w:t>
      </w:r>
      <w:r w:rsidR="004C7263">
        <w:rPr>
          <w:sz w:val="24"/>
          <w:szCs w:val="24"/>
        </w:rPr>
        <w:tab/>
      </w:r>
      <w:r w:rsidR="008E5188">
        <w:rPr>
          <w:sz w:val="24"/>
          <w:szCs w:val="24"/>
        </w:rPr>
        <w:t xml:space="preserve">The </w:t>
      </w:r>
      <w:r w:rsidR="00417B5D">
        <w:rPr>
          <w:sz w:val="24"/>
          <w:szCs w:val="24"/>
        </w:rPr>
        <w:t>Head of Finance</w:t>
      </w:r>
      <w:r w:rsidR="008E5188">
        <w:rPr>
          <w:sz w:val="24"/>
          <w:szCs w:val="24"/>
        </w:rPr>
        <w:t xml:space="preserve"> assesses the rates available from the market and the projected impact of rate changes in the future to determine the institution and period of investment to be made.</w:t>
      </w:r>
    </w:p>
    <w:p w:rsidR="0083678B" w:rsidRDefault="0083678B" w:rsidP="003A73E9">
      <w:pPr>
        <w:ind w:left="709" w:hanging="709"/>
        <w:rPr>
          <w:sz w:val="24"/>
          <w:szCs w:val="24"/>
        </w:rPr>
      </w:pPr>
    </w:p>
    <w:p w:rsidR="00343E86" w:rsidRDefault="00FB0ABF" w:rsidP="003A73E9">
      <w:pPr>
        <w:ind w:left="709" w:hanging="709"/>
        <w:rPr>
          <w:sz w:val="24"/>
          <w:szCs w:val="24"/>
        </w:rPr>
      </w:pPr>
      <w:r>
        <w:rPr>
          <w:sz w:val="24"/>
          <w:szCs w:val="24"/>
        </w:rPr>
        <w:t>8</w:t>
      </w:r>
      <w:r w:rsidR="004C7263">
        <w:rPr>
          <w:sz w:val="24"/>
          <w:szCs w:val="24"/>
        </w:rPr>
        <w:t>.2</w:t>
      </w:r>
      <w:r w:rsidR="004C7263">
        <w:rPr>
          <w:sz w:val="24"/>
          <w:szCs w:val="24"/>
        </w:rPr>
        <w:tab/>
      </w:r>
      <w:r w:rsidR="00343E86">
        <w:rPr>
          <w:sz w:val="24"/>
          <w:szCs w:val="24"/>
        </w:rPr>
        <w:t>Table 4</w:t>
      </w:r>
      <w:r w:rsidR="008E5188">
        <w:rPr>
          <w:sz w:val="24"/>
          <w:szCs w:val="24"/>
        </w:rPr>
        <w:t xml:space="preserve"> shows the actual return on investments during</w:t>
      </w:r>
      <w:r w:rsidR="00343E86">
        <w:rPr>
          <w:sz w:val="24"/>
          <w:szCs w:val="24"/>
        </w:rPr>
        <w:t xml:space="preserve"> 201</w:t>
      </w:r>
      <w:r w:rsidR="00812CAF">
        <w:rPr>
          <w:sz w:val="24"/>
          <w:szCs w:val="24"/>
        </w:rPr>
        <w:t>8</w:t>
      </w:r>
      <w:r w:rsidR="008C002C">
        <w:rPr>
          <w:sz w:val="24"/>
          <w:szCs w:val="24"/>
        </w:rPr>
        <w:t>/</w:t>
      </w:r>
      <w:r w:rsidR="00343E86">
        <w:rPr>
          <w:sz w:val="24"/>
          <w:szCs w:val="24"/>
        </w:rPr>
        <w:t>1</w:t>
      </w:r>
      <w:r w:rsidR="00812CAF">
        <w:rPr>
          <w:sz w:val="24"/>
          <w:szCs w:val="24"/>
        </w:rPr>
        <w:t>9</w:t>
      </w:r>
      <w:r w:rsidR="00343E86">
        <w:rPr>
          <w:sz w:val="24"/>
          <w:szCs w:val="24"/>
        </w:rPr>
        <w:t>,</w:t>
      </w:r>
      <w:r w:rsidR="008E5188">
        <w:rPr>
          <w:sz w:val="24"/>
          <w:szCs w:val="24"/>
        </w:rPr>
        <w:t xml:space="preserve"> 201</w:t>
      </w:r>
      <w:r w:rsidR="008C002C">
        <w:rPr>
          <w:sz w:val="24"/>
          <w:szCs w:val="24"/>
        </w:rPr>
        <w:t>9/</w:t>
      </w:r>
      <w:r w:rsidR="00812CAF">
        <w:rPr>
          <w:sz w:val="24"/>
          <w:szCs w:val="24"/>
        </w:rPr>
        <w:t>20 and 2020</w:t>
      </w:r>
      <w:r w:rsidR="008E5188">
        <w:rPr>
          <w:sz w:val="24"/>
          <w:szCs w:val="24"/>
        </w:rPr>
        <w:t>/</w:t>
      </w:r>
      <w:r w:rsidR="00812CAF">
        <w:rPr>
          <w:sz w:val="24"/>
          <w:szCs w:val="24"/>
        </w:rPr>
        <w:t>21</w:t>
      </w:r>
      <w:r w:rsidR="008E5188">
        <w:rPr>
          <w:sz w:val="24"/>
          <w:szCs w:val="24"/>
        </w:rPr>
        <w:t xml:space="preserve"> in comparison with the Base Rate, </w:t>
      </w:r>
      <w:r w:rsidR="00BF5BF9">
        <w:rPr>
          <w:sz w:val="24"/>
          <w:szCs w:val="24"/>
        </w:rPr>
        <w:t xml:space="preserve">the </w:t>
      </w:r>
      <w:r w:rsidR="008E5188">
        <w:rPr>
          <w:sz w:val="24"/>
          <w:szCs w:val="24"/>
        </w:rPr>
        <w:t>7-day money market rate and the rate provided by the Council’s bank</w:t>
      </w:r>
      <w:r w:rsidR="00BF5BF9">
        <w:rPr>
          <w:sz w:val="24"/>
          <w:szCs w:val="24"/>
        </w:rPr>
        <w:t xml:space="preserve">; Lloyds PLC. </w:t>
      </w:r>
      <w:r w:rsidR="008E5188">
        <w:rPr>
          <w:sz w:val="24"/>
          <w:szCs w:val="24"/>
        </w:rPr>
        <w:t xml:space="preserve">  </w:t>
      </w:r>
    </w:p>
    <w:p w:rsidR="00160C5D" w:rsidRDefault="00160C5D" w:rsidP="003A73E9">
      <w:pPr>
        <w:ind w:left="709" w:hanging="709"/>
        <w:rPr>
          <w:sz w:val="24"/>
          <w:szCs w:val="24"/>
        </w:rPr>
      </w:pPr>
    </w:p>
    <w:p w:rsidR="0083678B" w:rsidRDefault="00DA6042">
      <w:pPr>
        <w:ind w:left="709"/>
        <w:rPr>
          <w:sz w:val="24"/>
          <w:szCs w:val="24"/>
        </w:rPr>
      </w:pPr>
      <w:r w:rsidRPr="00DA6042">
        <w:rPr>
          <w:noProof/>
          <w:lang w:val="en-GB"/>
        </w:rPr>
        <w:drawing>
          <wp:inline distT="0" distB="0" distL="0" distR="0">
            <wp:extent cx="4648200" cy="1533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200" cy="1533525"/>
                    </a:xfrm>
                    <a:prstGeom prst="rect">
                      <a:avLst/>
                    </a:prstGeom>
                    <a:noFill/>
                    <a:ln>
                      <a:noFill/>
                    </a:ln>
                  </pic:spPr>
                </pic:pic>
              </a:graphicData>
            </a:graphic>
          </wp:inline>
        </w:drawing>
      </w:r>
    </w:p>
    <w:p w:rsidR="0083678B" w:rsidRDefault="0083678B">
      <w:pPr>
        <w:rPr>
          <w:sz w:val="24"/>
          <w:szCs w:val="24"/>
        </w:rPr>
      </w:pPr>
    </w:p>
    <w:p w:rsidR="003A73E9" w:rsidRPr="003A73E9" w:rsidRDefault="00FB0ABF" w:rsidP="003A73E9">
      <w:pPr>
        <w:tabs>
          <w:tab w:val="left" w:pos="720"/>
        </w:tabs>
        <w:ind w:left="709" w:hanging="709"/>
        <w:rPr>
          <w:sz w:val="24"/>
          <w:szCs w:val="24"/>
        </w:rPr>
      </w:pPr>
      <w:r>
        <w:rPr>
          <w:sz w:val="24"/>
          <w:szCs w:val="24"/>
        </w:rPr>
        <w:t>8</w:t>
      </w:r>
      <w:r w:rsidR="003A73E9" w:rsidRPr="003A73E9">
        <w:rPr>
          <w:sz w:val="24"/>
          <w:szCs w:val="24"/>
        </w:rPr>
        <w:t>.3</w:t>
      </w:r>
      <w:r w:rsidR="003A73E9" w:rsidRPr="003A73E9">
        <w:rPr>
          <w:sz w:val="24"/>
          <w:szCs w:val="24"/>
        </w:rPr>
        <w:tab/>
        <w:t xml:space="preserve">The average rate of return has </w:t>
      </w:r>
      <w:r w:rsidR="00D472D4">
        <w:rPr>
          <w:sz w:val="24"/>
          <w:szCs w:val="24"/>
        </w:rPr>
        <w:t>de</w:t>
      </w:r>
      <w:r w:rsidR="008276D7">
        <w:rPr>
          <w:sz w:val="24"/>
          <w:szCs w:val="24"/>
        </w:rPr>
        <w:t>creased</w:t>
      </w:r>
      <w:r w:rsidR="003A73E9" w:rsidRPr="003A73E9">
        <w:rPr>
          <w:sz w:val="24"/>
          <w:szCs w:val="24"/>
        </w:rPr>
        <w:t xml:space="preserve"> from 0.</w:t>
      </w:r>
      <w:r w:rsidR="00675021">
        <w:rPr>
          <w:sz w:val="24"/>
          <w:szCs w:val="24"/>
        </w:rPr>
        <w:t>75</w:t>
      </w:r>
      <w:r w:rsidR="003A73E9" w:rsidRPr="003A73E9">
        <w:rPr>
          <w:sz w:val="24"/>
          <w:szCs w:val="24"/>
        </w:rPr>
        <w:t>% to 0.</w:t>
      </w:r>
      <w:r w:rsidR="00675021">
        <w:rPr>
          <w:sz w:val="24"/>
          <w:szCs w:val="24"/>
        </w:rPr>
        <w:t>22</w:t>
      </w:r>
      <w:r w:rsidR="003A73E9" w:rsidRPr="003A73E9">
        <w:rPr>
          <w:sz w:val="24"/>
          <w:szCs w:val="24"/>
        </w:rPr>
        <w:t xml:space="preserve">% as a result of the Bank of England </w:t>
      </w:r>
      <w:r w:rsidR="00065D00">
        <w:rPr>
          <w:sz w:val="24"/>
          <w:szCs w:val="24"/>
        </w:rPr>
        <w:t xml:space="preserve">Monetary Policy Committee </w:t>
      </w:r>
      <w:r w:rsidR="00675021">
        <w:rPr>
          <w:sz w:val="24"/>
          <w:szCs w:val="24"/>
        </w:rPr>
        <w:t>de</w:t>
      </w:r>
      <w:r w:rsidR="008276D7">
        <w:rPr>
          <w:sz w:val="24"/>
          <w:szCs w:val="24"/>
        </w:rPr>
        <w:t>creasi</w:t>
      </w:r>
      <w:r w:rsidR="00675021">
        <w:rPr>
          <w:sz w:val="24"/>
          <w:szCs w:val="24"/>
        </w:rPr>
        <w:t>ng the bank rate by 0.65% in March 2020</w:t>
      </w:r>
      <w:r w:rsidR="003A73E9" w:rsidRPr="003A73E9">
        <w:rPr>
          <w:sz w:val="24"/>
          <w:szCs w:val="24"/>
        </w:rPr>
        <w:t xml:space="preserve">. </w:t>
      </w:r>
      <w:r w:rsidR="000728AC">
        <w:rPr>
          <w:sz w:val="24"/>
          <w:szCs w:val="24"/>
        </w:rPr>
        <w:t>Therefore, longe</w:t>
      </w:r>
      <w:r w:rsidR="00675021">
        <w:rPr>
          <w:sz w:val="24"/>
          <w:szCs w:val="24"/>
        </w:rPr>
        <w:t>r term investments achieved low</w:t>
      </w:r>
      <w:r w:rsidR="000728AC">
        <w:rPr>
          <w:sz w:val="24"/>
          <w:szCs w:val="24"/>
        </w:rPr>
        <w:t>er rates.</w:t>
      </w:r>
    </w:p>
    <w:p w:rsidR="0083678B" w:rsidRDefault="0083678B">
      <w:pPr>
        <w:ind w:left="600" w:hanging="600"/>
        <w:rPr>
          <w:sz w:val="24"/>
          <w:szCs w:val="24"/>
        </w:rPr>
      </w:pPr>
    </w:p>
    <w:p w:rsidR="0083678B" w:rsidRDefault="00FB0ABF">
      <w:pPr>
        <w:ind w:left="720" w:hanging="720"/>
        <w:rPr>
          <w:sz w:val="24"/>
          <w:szCs w:val="24"/>
        </w:rPr>
      </w:pPr>
      <w:r>
        <w:rPr>
          <w:sz w:val="24"/>
          <w:szCs w:val="24"/>
        </w:rPr>
        <w:t>8</w:t>
      </w:r>
      <w:r w:rsidR="003A73E9">
        <w:rPr>
          <w:sz w:val="24"/>
          <w:szCs w:val="24"/>
        </w:rPr>
        <w:t>.4</w:t>
      </w:r>
      <w:r w:rsidR="008E5188">
        <w:rPr>
          <w:sz w:val="24"/>
          <w:szCs w:val="24"/>
        </w:rPr>
        <w:tab/>
      </w:r>
      <w:r w:rsidR="00AF1B7B">
        <w:rPr>
          <w:sz w:val="24"/>
          <w:szCs w:val="24"/>
        </w:rPr>
        <w:t>The budg</w:t>
      </w:r>
      <w:r w:rsidR="00BD78CB">
        <w:rPr>
          <w:sz w:val="24"/>
          <w:szCs w:val="24"/>
        </w:rPr>
        <w:t>et for investment income for 2020</w:t>
      </w:r>
      <w:r w:rsidR="008C002C">
        <w:rPr>
          <w:sz w:val="24"/>
          <w:szCs w:val="24"/>
        </w:rPr>
        <w:t>/</w:t>
      </w:r>
      <w:r w:rsidR="00BD78CB">
        <w:rPr>
          <w:sz w:val="24"/>
          <w:szCs w:val="24"/>
        </w:rPr>
        <w:t xml:space="preserve">21 </w:t>
      </w:r>
      <w:r w:rsidR="00661E73">
        <w:rPr>
          <w:sz w:val="24"/>
          <w:szCs w:val="24"/>
        </w:rPr>
        <w:t>was £100</w:t>
      </w:r>
      <w:r w:rsidR="00392697">
        <w:rPr>
          <w:sz w:val="24"/>
          <w:szCs w:val="24"/>
        </w:rPr>
        <w:t>,</w:t>
      </w:r>
      <w:r w:rsidR="00661E73">
        <w:rPr>
          <w:sz w:val="24"/>
          <w:szCs w:val="24"/>
        </w:rPr>
        <w:t>0</w:t>
      </w:r>
      <w:r w:rsidR="00392697">
        <w:rPr>
          <w:sz w:val="24"/>
          <w:szCs w:val="24"/>
        </w:rPr>
        <w:t>00</w:t>
      </w:r>
      <w:r w:rsidR="00AF1B7B">
        <w:rPr>
          <w:sz w:val="24"/>
          <w:szCs w:val="24"/>
        </w:rPr>
        <w:t xml:space="preserve"> compared against actual investment income achieved of £</w:t>
      </w:r>
      <w:r w:rsidR="00896FEB">
        <w:rPr>
          <w:sz w:val="24"/>
          <w:szCs w:val="24"/>
        </w:rPr>
        <w:t>54</w:t>
      </w:r>
      <w:r w:rsidR="00AF1B7B">
        <w:rPr>
          <w:sz w:val="24"/>
          <w:szCs w:val="24"/>
        </w:rPr>
        <w:t>,</w:t>
      </w:r>
      <w:r w:rsidR="00661E73">
        <w:rPr>
          <w:sz w:val="24"/>
          <w:szCs w:val="24"/>
        </w:rPr>
        <w:t>9</w:t>
      </w:r>
      <w:r w:rsidR="00896FEB">
        <w:rPr>
          <w:sz w:val="24"/>
          <w:szCs w:val="24"/>
        </w:rPr>
        <w:t>21</w:t>
      </w:r>
      <w:r w:rsidR="00082131">
        <w:rPr>
          <w:sz w:val="24"/>
          <w:szCs w:val="24"/>
        </w:rPr>
        <w:t xml:space="preserve">, a </w:t>
      </w:r>
      <w:r w:rsidR="00896FEB">
        <w:rPr>
          <w:sz w:val="24"/>
          <w:szCs w:val="24"/>
        </w:rPr>
        <w:t>de</w:t>
      </w:r>
      <w:r w:rsidR="00082131">
        <w:rPr>
          <w:sz w:val="24"/>
          <w:szCs w:val="24"/>
        </w:rPr>
        <w:t>crease of £</w:t>
      </w:r>
      <w:r w:rsidR="00661E73">
        <w:rPr>
          <w:sz w:val="24"/>
          <w:szCs w:val="24"/>
        </w:rPr>
        <w:t>1</w:t>
      </w:r>
      <w:r w:rsidR="00896FEB">
        <w:rPr>
          <w:sz w:val="24"/>
          <w:szCs w:val="24"/>
        </w:rPr>
        <w:t>15</w:t>
      </w:r>
      <w:r w:rsidR="00082131">
        <w:rPr>
          <w:sz w:val="24"/>
          <w:szCs w:val="24"/>
        </w:rPr>
        <w:t>,</w:t>
      </w:r>
      <w:r w:rsidR="00896FEB">
        <w:rPr>
          <w:sz w:val="24"/>
          <w:szCs w:val="24"/>
        </w:rPr>
        <w:t>059</w:t>
      </w:r>
      <w:r w:rsidR="000728AC">
        <w:rPr>
          <w:sz w:val="24"/>
          <w:szCs w:val="24"/>
        </w:rPr>
        <w:t xml:space="preserve"> over the income in 201</w:t>
      </w:r>
      <w:r w:rsidR="00896FEB">
        <w:rPr>
          <w:sz w:val="24"/>
          <w:szCs w:val="24"/>
        </w:rPr>
        <w:t>9</w:t>
      </w:r>
      <w:r w:rsidR="0066622E">
        <w:rPr>
          <w:sz w:val="24"/>
          <w:szCs w:val="24"/>
        </w:rPr>
        <w:t>/</w:t>
      </w:r>
      <w:r w:rsidR="00896FEB">
        <w:rPr>
          <w:sz w:val="24"/>
          <w:szCs w:val="24"/>
        </w:rPr>
        <w:t>20</w:t>
      </w:r>
      <w:r w:rsidR="000728AC">
        <w:rPr>
          <w:sz w:val="24"/>
          <w:szCs w:val="24"/>
        </w:rPr>
        <w:t>.</w:t>
      </w:r>
    </w:p>
    <w:p w:rsidR="0083678B" w:rsidRDefault="0083678B">
      <w:pPr>
        <w:ind w:left="600" w:hanging="600"/>
        <w:rPr>
          <w:sz w:val="24"/>
          <w:szCs w:val="24"/>
        </w:rPr>
      </w:pPr>
    </w:p>
    <w:p w:rsidR="0083678B" w:rsidRDefault="00FB0ABF" w:rsidP="00966707">
      <w:pPr>
        <w:ind w:left="720" w:hanging="720"/>
        <w:rPr>
          <w:sz w:val="24"/>
          <w:szCs w:val="24"/>
        </w:rPr>
      </w:pPr>
      <w:r>
        <w:rPr>
          <w:sz w:val="24"/>
          <w:szCs w:val="24"/>
        </w:rPr>
        <w:t>8</w:t>
      </w:r>
      <w:r w:rsidR="00966707">
        <w:rPr>
          <w:sz w:val="24"/>
          <w:szCs w:val="24"/>
        </w:rPr>
        <w:t>.</w:t>
      </w:r>
      <w:r w:rsidR="00517BF1">
        <w:rPr>
          <w:sz w:val="24"/>
          <w:szCs w:val="24"/>
        </w:rPr>
        <w:t>5</w:t>
      </w:r>
      <w:r w:rsidR="00966707">
        <w:rPr>
          <w:sz w:val="24"/>
          <w:szCs w:val="24"/>
        </w:rPr>
        <w:tab/>
      </w:r>
      <w:r w:rsidR="008E5188" w:rsidRPr="00494CB0">
        <w:rPr>
          <w:sz w:val="24"/>
          <w:szCs w:val="24"/>
        </w:rPr>
        <w:t xml:space="preserve">The Council received a newsflash update from </w:t>
      </w:r>
      <w:r w:rsidR="00D8761F" w:rsidRPr="00494CB0">
        <w:rPr>
          <w:sz w:val="24"/>
          <w:szCs w:val="24"/>
        </w:rPr>
        <w:t>Link</w:t>
      </w:r>
      <w:r w:rsidR="008E5188" w:rsidRPr="00494CB0">
        <w:rPr>
          <w:sz w:val="24"/>
          <w:szCs w:val="24"/>
        </w:rPr>
        <w:t xml:space="preserve"> on </w:t>
      </w:r>
      <w:r w:rsidR="00C03065" w:rsidRPr="00494CB0">
        <w:rPr>
          <w:sz w:val="24"/>
          <w:szCs w:val="24"/>
        </w:rPr>
        <w:t>31</w:t>
      </w:r>
      <w:r w:rsidR="008E5188" w:rsidRPr="00494CB0">
        <w:rPr>
          <w:sz w:val="24"/>
          <w:szCs w:val="24"/>
        </w:rPr>
        <w:t xml:space="preserve"> </w:t>
      </w:r>
      <w:r w:rsidR="00D8761F" w:rsidRPr="00494CB0">
        <w:rPr>
          <w:sz w:val="24"/>
          <w:szCs w:val="24"/>
        </w:rPr>
        <w:t>Ma</w:t>
      </w:r>
      <w:r w:rsidR="00C03065" w:rsidRPr="00494CB0">
        <w:rPr>
          <w:sz w:val="24"/>
          <w:szCs w:val="24"/>
        </w:rPr>
        <w:t>rch</w:t>
      </w:r>
      <w:r w:rsidR="008E5188" w:rsidRPr="00494CB0">
        <w:rPr>
          <w:sz w:val="24"/>
          <w:szCs w:val="24"/>
        </w:rPr>
        <w:t xml:space="preserve"> 20</w:t>
      </w:r>
      <w:r w:rsidR="00C03065" w:rsidRPr="00494CB0">
        <w:rPr>
          <w:sz w:val="24"/>
          <w:szCs w:val="24"/>
        </w:rPr>
        <w:t>20</w:t>
      </w:r>
      <w:r w:rsidR="008E5188" w:rsidRPr="00494CB0">
        <w:rPr>
          <w:sz w:val="24"/>
          <w:szCs w:val="24"/>
        </w:rPr>
        <w:t xml:space="preserve">, which included a review of its interest rate forecast following the </w:t>
      </w:r>
      <w:r w:rsidR="00C03065" w:rsidRPr="00494CB0">
        <w:rPr>
          <w:sz w:val="24"/>
          <w:szCs w:val="24"/>
        </w:rPr>
        <w:t>initial Government and Bank of England response to the coronavirus epidemic, and on the assumption that the virus would be ‘defeated’ in the UK over a 6 to 12 months period.</w:t>
      </w:r>
      <w:r w:rsidR="008E5188" w:rsidRPr="00494CB0">
        <w:rPr>
          <w:sz w:val="24"/>
          <w:szCs w:val="24"/>
        </w:rPr>
        <w:t xml:space="preserve">  Forecasts </w:t>
      </w:r>
      <w:r w:rsidR="00C03065" w:rsidRPr="00494CB0">
        <w:rPr>
          <w:sz w:val="24"/>
          <w:szCs w:val="24"/>
        </w:rPr>
        <w:t>were that the base rate would remain at 0.10% for at least the next 2 years</w:t>
      </w:r>
      <w:r w:rsidR="00D8761F" w:rsidRPr="00494CB0">
        <w:rPr>
          <w:sz w:val="24"/>
          <w:szCs w:val="24"/>
        </w:rPr>
        <w:t>.</w:t>
      </w:r>
    </w:p>
    <w:p w:rsidR="0083678B" w:rsidRDefault="0083678B">
      <w:pPr>
        <w:ind w:left="709" w:hanging="709"/>
        <w:rPr>
          <w:sz w:val="24"/>
          <w:szCs w:val="24"/>
        </w:rPr>
      </w:pPr>
    </w:p>
    <w:p w:rsidR="007C1F32" w:rsidRDefault="00FB0ABF" w:rsidP="00966707">
      <w:pPr>
        <w:ind w:left="720" w:hanging="720"/>
        <w:rPr>
          <w:sz w:val="24"/>
          <w:szCs w:val="24"/>
        </w:rPr>
      </w:pPr>
      <w:r>
        <w:rPr>
          <w:sz w:val="24"/>
          <w:szCs w:val="24"/>
        </w:rPr>
        <w:t>8</w:t>
      </w:r>
      <w:r w:rsidR="00966707">
        <w:rPr>
          <w:sz w:val="24"/>
          <w:szCs w:val="24"/>
        </w:rPr>
        <w:t>.</w:t>
      </w:r>
      <w:r w:rsidR="00517BF1">
        <w:rPr>
          <w:sz w:val="24"/>
          <w:szCs w:val="24"/>
        </w:rPr>
        <w:t>6</w:t>
      </w:r>
      <w:r w:rsidR="00966707">
        <w:rPr>
          <w:sz w:val="24"/>
          <w:szCs w:val="24"/>
        </w:rPr>
        <w:tab/>
      </w:r>
      <w:r w:rsidR="00494CB0" w:rsidRPr="00494CB0">
        <w:rPr>
          <w:sz w:val="24"/>
          <w:szCs w:val="24"/>
        </w:rPr>
        <w:t>F</w:t>
      </w:r>
      <w:r w:rsidR="00C03065" w:rsidRPr="00494CB0">
        <w:rPr>
          <w:sz w:val="24"/>
          <w:szCs w:val="24"/>
        </w:rPr>
        <w:t>urther newsflash</w:t>
      </w:r>
      <w:r w:rsidR="00494CB0" w:rsidRPr="00494CB0">
        <w:rPr>
          <w:sz w:val="24"/>
          <w:szCs w:val="24"/>
        </w:rPr>
        <w:t xml:space="preserve">es </w:t>
      </w:r>
      <w:proofErr w:type="gramStart"/>
      <w:r w:rsidR="00494CB0" w:rsidRPr="00494CB0">
        <w:rPr>
          <w:sz w:val="24"/>
          <w:szCs w:val="24"/>
        </w:rPr>
        <w:t>were</w:t>
      </w:r>
      <w:r w:rsidR="00C03065" w:rsidRPr="00494CB0">
        <w:rPr>
          <w:sz w:val="24"/>
          <w:szCs w:val="24"/>
        </w:rPr>
        <w:t xml:space="preserve"> received</w:t>
      </w:r>
      <w:proofErr w:type="gramEnd"/>
      <w:r w:rsidR="00C03065" w:rsidRPr="00494CB0">
        <w:rPr>
          <w:sz w:val="24"/>
          <w:szCs w:val="24"/>
        </w:rPr>
        <w:t xml:space="preserve"> </w:t>
      </w:r>
      <w:r w:rsidR="00494CB0" w:rsidRPr="00494CB0">
        <w:rPr>
          <w:sz w:val="24"/>
          <w:szCs w:val="24"/>
        </w:rPr>
        <w:t>during the year, with the latest on</w:t>
      </w:r>
      <w:r w:rsidR="00C03065" w:rsidRPr="00494CB0">
        <w:rPr>
          <w:sz w:val="24"/>
          <w:szCs w:val="24"/>
        </w:rPr>
        <w:t xml:space="preserve"> </w:t>
      </w:r>
      <w:r w:rsidR="00494CB0" w:rsidRPr="00494CB0">
        <w:rPr>
          <w:sz w:val="24"/>
          <w:szCs w:val="24"/>
        </w:rPr>
        <w:t>9</w:t>
      </w:r>
      <w:r w:rsidR="00C03065" w:rsidRPr="00494CB0">
        <w:rPr>
          <w:sz w:val="24"/>
          <w:szCs w:val="24"/>
        </w:rPr>
        <w:t xml:space="preserve"> </w:t>
      </w:r>
      <w:r w:rsidR="00494CB0" w:rsidRPr="00494CB0">
        <w:rPr>
          <w:sz w:val="24"/>
          <w:szCs w:val="24"/>
        </w:rPr>
        <w:t>March</w:t>
      </w:r>
      <w:r w:rsidR="00C03065" w:rsidRPr="00494CB0">
        <w:rPr>
          <w:sz w:val="24"/>
          <w:szCs w:val="24"/>
        </w:rPr>
        <w:t xml:space="preserve"> 202</w:t>
      </w:r>
      <w:r w:rsidR="00494CB0" w:rsidRPr="00494CB0">
        <w:rPr>
          <w:sz w:val="24"/>
          <w:szCs w:val="24"/>
        </w:rPr>
        <w:t>1 extending</w:t>
      </w:r>
      <w:r w:rsidR="00C03065" w:rsidRPr="00494CB0">
        <w:rPr>
          <w:sz w:val="24"/>
          <w:szCs w:val="24"/>
        </w:rPr>
        <w:t xml:space="preserve"> the forecast f</w:t>
      </w:r>
      <w:r w:rsidR="00494CB0" w:rsidRPr="00494CB0">
        <w:rPr>
          <w:sz w:val="24"/>
          <w:szCs w:val="24"/>
        </w:rPr>
        <w:t xml:space="preserve">or base rate to remain at 0.10% </w:t>
      </w:r>
      <w:r w:rsidR="00C03065" w:rsidRPr="00494CB0">
        <w:rPr>
          <w:sz w:val="24"/>
          <w:szCs w:val="24"/>
        </w:rPr>
        <w:t xml:space="preserve">by </w:t>
      </w:r>
      <w:r w:rsidR="00494CB0" w:rsidRPr="00494CB0">
        <w:rPr>
          <w:sz w:val="24"/>
          <w:szCs w:val="24"/>
        </w:rPr>
        <w:t>an additional year to March 2024</w:t>
      </w:r>
      <w:r w:rsidR="00D8761F" w:rsidRPr="00494CB0">
        <w:rPr>
          <w:sz w:val="24"/>
          <w:szCs w:val="24"/>
        </w:rPr>
        <w:t>.</w:t>
      </w:r>
    </w:p>
    <w:p w:rsidR="007C1F32" w:rsidRDefault="007C1F32" w:rsidP="006105A0">
      <w:pPr>
        <w:rPr>
          <w:sz w:val="24"/>
          <w:szCs w:val="24"/>
        </w:rPr>
      </w:pPr>
    </w:p>
    <w:p w:rsidR="0083678B" w:rsidRDefault="0083678B">
      <w:pPr>
        <w:ind w:left="720"/>
        <w:rPr>
          <w:sz w:val="24"/>
          <w:szCs w:val="24"/>
        </w:rPr>
      </w:pPr>
    </w:p>
    <w:p w:rsidR="0083678B" w:rsidRPr="000D5C2A" w:rsidRDefault="00FB0ABF">
      <w:pPr>
        <w:rPr>
          <w:b/>
          <w:bCs/>
          <w:sz w:val="24"/>
          <w:szCs w:val="24"/>
        </w:rPr>
      </w:pPr>
      <w:r w:rsidRPr="000D5C2A">
        <w:rPr>
          <w:rFonts w:eastAsia="Arial Unicode MS" w:cs="Arial Unicode MS"/>
          <w:b/>
          <w:bCs/>
          <w:sz w:val="24"/>
          <w:szCs w:val="24"/>
        </w:rPr>
        <w:t>9</w:t>
      </w:r>
      <w:r w:rsidR="00966707" w:rsidRPr="000D5C2A">
        <w:rPr>
          <w:rFonts w:eastAsia="Arial Unicode MS" w:cs="Arial Unicode MS"/>
          <w:b/>
          <w:bCs/>
          <w:sz w:val="24"/>
          <w:szCs w:val="24"/>
        </w:rPr>
        <w:t>.</w:t>
      </w:r>
      <w:r w:rsidR="008E5188" w:rsidRPr="000D5C2A">
        <w:rPr>
          <w:rFonts w:eastAsia="Arial Unicode MS" w:cs="Arial Unicode MS"/>
          <w:b/>
          <w:bCs/>
          <w:sz w:val="24"/>
          <w:szCs w:val="24"/>
        </w:rPr>
        <w:tab/>
        <w:t>P</w:t>
      </w:r>
      <w:r w:rsidR="00966707" w:rsidRPr="000D5C2A">
        <w:rPr>
          <w:rFonts w:eastAsia="Arial Unicode MS" w:cs="Arial Unicode MS"/>
          <w:b/>
          <w:bCs/>
          <w:sz w:val="24"/>
          <w:szCs w:val="24"/>
        </w:rPr>
        <w:t>RUDENTIAL INDICATORS</w:t>
      </w:r>
    </w:p>
    <w:p w:rsidR="0083678B" w:rsidRPr="000D5C2A" w:rsidRDefault="0083678B">
      <w:pPr>
        <w:rPr>
          <w:b/>
          <w:bCs/>
          <w:sz w:val="24"/>
          <w:szCs w:val="24"/>
        </w:rPr>
      </w:pPr>
    </w:p>
    <w:p w:rsidR="00335F2E" w:rsidRPr="000D5C2A" w:rsidRDefault="00FB0ABF">
      <w:pPr>
        <w:ind w:left="720" w:hanging="720"/>
        <w:rPr>
          <w:sz w:val="24"/>
          <w:szCs w:val="24"/>
        </w:rPr>
      </w:pPr>
      <w:r w:rsidRPr="000D5C2A">
        <w:rPr>
          <w:sz w:val="24"/>
          <w:szCs w:val="24"/>
        </w:rPr>
        <w:t>9</w:t>
      </w:r>
      <w:r w:rsidR="00966707" w:rsidRPr="000D5C2A">
        <w:rPr>
          <w:sz w:val="24"/>
          <w:szCs w:val="24"/>
        </w:rPr>
        <w:t>.1</w:t>
      </w:r>
      <w:r w:rsidR="008E5188" w:rsidRPr="000D5C2A">
        <w:rPr>
          <w:sz w:val="24"/>
          <w:szCs w:val="24"/>
        </w:rPr>
        <w:tab/>
      </w:r>
      <w:r w:rsidR="002A0A3E" w:rsidRPr="000D5C2A">
        <w:rPr>
          <w:sz w:val="24"/>
          <w:szCs w:val="24"/>
        </w:rPr>
        <w:t xml:space="preserve">It is a statutory duty for the Council to determine and keep under review the affordable borrowing limit.  </w:t>
      </w:r>
      <w:r w:rsidR="00335F2E" w:rsidRPr="000D5C2A">
        <w:rPr>
          <w:sz w:val="24"/>
          <w:szCs w:val="24"/>
        </w:rPr>
        <w:t xml:space="preserve">Underpinning the Prudential system for borrowing is the fundamental objective that any investment in assets needs to be both affordable and remain within sustainable limits.  </w:t>
      </w:r>
    </w:p>
    <w:p w:rsidR="00335F2E" w:rsidRPr="000D5C2A" w:rsidRDefault="00335F2E">
      <w:pPr>
        <w:ind w:left="720" w:hanging="720"/>
        <w:rPr>
          <w:sz w:val="24"/>
          <w:szCs w:val="24"/>
        </w:rPr>
      </w:pPr>
    </w:p>
    <w:p w:rsidR="002A0A3E" w:rsidRPr="000D5C2A" w:rsidRDefault="00FB0ABF" w:rsidP="00A229D8">
      <w:pPr>
        <w:ind w:left="720" w:hanging="720"/>
        <w:rPr>
          <w:sz w:val="24"/>
          <w:szCs w:val="24"/>
        </w:rPr>
      </w:pPr>
      <w:r w:rsidRPr="000D5C2A">
        <w:rPr>
          <w:sz w:val="24"/>
          <w:szCs w:val="24"/>
        </w:rPr>
        <w:t>9.</w:t>
      </w:r>
      <w:r w:rsidR="00335F2E" w:rsidRPr="000D5C2A">
        <w:rPr>
          <w:sz w:val="24"/>
          <w:szCs w:val="24"/>
        </w:rPr>
        <w:t>2</w:t>
      </w:r>
      <w:r w:rsidR="00335F2E" w:rsidRPr="000D5C2A">
        <w:rPr>
          <w:sz w:val="24"/>
          <w:szCs w:val="24"/>
        </w:rPr>
        <w:tab/>
      </w:r>
      <w:r w:rsidR="00A229D8" w:rsidRPr="000D5C2A">
        <w:rPr>
          <w:sz w:val="24"/>
          <w:szCs w:val="24"/>
        </w:rPr>
        <w:t>T</w:t>
      </w:r>
      <w:r w:rsidR="00335F2E" w:rsidRPr="000D5C2A">
        <w:rPr>
          <w:sz w:val="24"/>
          <w:szCs w:val="24"/>
        </w:rPr>
        <w:t xml:space="preserve">he Council sets its own affordable borrowing limits, which it monitors </w:t>
      </w:r>
      <w:r w:rsidR="00A229D8" w:rsidRPr="000D5C2A">
        <w:rPr>
          <w:sz w:val="24"/>
          <w:szCs w:val="24"/>
        </w:rPr>
        <w:t xml:space="preserve">against </w:t>
      </w:r>
      <w:r w:rsidR="00335F2E" w:rsidRPr="000D5C2A">
        <w:rPr>
          <w:sz w:val="24"/>
          <w:szCs w:val="24"/>
        </w:rPr>
        <w:t>actual performance</w:t>
      </w:r>
      <w:r w:rsidR="00A229D8" w:rsidRPr="000D5C2A">
        <w:rPr>
          <w:sz w:val="24"/>
          <w:szCs w:val="24"/>
        </w:rPr>
        <w:t xml:space="preserve">.  Two statutory borrowing limits are set, these are an </w:t>
      </w:r>
      <w:r w:rsidR="00335F2E" w:rsidRPr="000D5C2A">
        <w:rPr>
          <w:sz w:val="24"/>
          <w:szCs w:val="24"/>
        </w:rPr>
        <w:t>Authorised Limit</w:t>
      </w:r>
      <w:r w:rsidR="00A229D8" w:rsidRPr="000D5C2A">
        <w:rPr>
          <w:sz w:val="24"/>
          <w:szCs w:val="24"/>
        </w:rPr>
        <w:t xml:space="preserve"> w</w:t>
      </w:r>
      <w:r w:rsidR="00335F2E" w:rsidRPr="000D5C2A">
        <w:rPr>
          <w:sz w:val="24"/>
          <w:szCs w:val="24"/>
        </w:rPr>
        <w:t>hich should not be breached</w:t>
      </w:r>
      <w:r w:rsidR="00A229D8" w:rsidRPr="000D5C2A">
        <w:rPr>
          <w:sz w:val="24"/>
          <w:szCs w:val="24"/>
        </w:rPr>
        <w:t xml:space="preserve"> and an Op</w:t>
      </w:r>
      <w:r w:rsidR="00335F2E" w:rsidRPr="000D5C2A">
        <w:rPr>
          <w:sz w:val="24"/>
          <w:szCs w:val="24"/>
        </w:rPr>
        <w:t>erational Boundary</w:t>
      </w:r>
      <w:r w:rsidR="00A229D8" w:rsidRPr="000D5C2A">
        <w:rPr>
          <w:sz w:val="24"/>
          <w:szCs w:val="24"/>
        </w:rPr>
        <w:t xml:space="preserve"> which</w:t>
      </w:r>
      <w:r w:rsidR="00335F2E" w:rsidRPr="000D5C2A">
        <w:rPr>
          <w:sz w:val="24"/>
          <w:szCs w:val="24"/>
        </w:rPr>
        <w:t xml:space="preserve"> is based on the same estimates as the Authorised Lim</w:t>
      </w:r>
      <w:r w:rsidR="00D176D5" w:rsidRPr="000D5C2A">
        <w:rPr>
          <w:sz w:val="24"/>
          <w:szCs w:val="24"/>
        </w:rPr>
        <w:t xml:space="preserve">it but reflects the most likely (that is </w:t>
      </w:r>
      <w:r w:rsidR="00335F2E" w:rsidRPr="000D5C2A">
        <w:rPr>
          <w:sz w:val="24"/>
          <w:szCs w:val="24"/>
        </w:rPr>
        <w:t>prudent</w:t>
      </w:r>
      <w:r w:rsidR="00D176D5" w:rsidRPr="000D5C2A">
        <w:rPr>
          <w:sz w:val="24"/>
          <w:szCs w:val="24"/>
        </w:rPr>
        <w:t>)</w:t>
      </w:r>
      <w:r w:rsidR="00335F2E" w:rsidRPr="000D5C2A">
        <w:rPr>
          <w:sz w:val="24"/>
          <w:szCs w:val="24"/>
        </w:rPr>
        <w:t xml:space="preserve"> but not worst case scenario</w:t>
      </w:r>
      <w:r w:rsidR="00D176D5" w:rsidRPr="000D5C2A">
        <w:rPr>
          <w:sz w:val="24"/>
          <w:szCs w:val="24"/>
        </w:rPr>
        <w:t>,</w:t>
      </w:r>
      <w:r w:rsidR="00335F2E" w:rsidRPr="000D5C2A">
        <w:rPr>
          <w:sz w:val="24"/>
          <w:szCs w:val="24"/>
        </w:rPr>
        <w:t xml:space="preserve"> without the additional headroom </w:t>
      </w:r>
      <w:r w:rsidR="00A229D8" w:rsidRPr="000D5C2A">
        <w:rPr>
          <w:sz w:val="24"/>
          <w:szCs w:val="24"/>
        </w:rPr>
        <w:t xml:space="preserve">which is </w:t>
      </w:r>
      <w:r w:rsidR="00335F2E" w:rsidRPr="000D5C2A">
        <w:rPr>
          <w:sz w:val="24"/>
          <w:szCs w:val="24"/>
        </w:rPr>
        <w:t xml:space="preserve">included </w:t>
      </w:r>
      <w:r w:rsidR="00A229D8" w:rsidRPr="000D5C2A">
        <w:rPr>
          <w:sz w:val="24"/>
          <w:szCs w:val="24"/>
        </w:rPr>
        <w:t xml:space="preserve">in </w:t>
      </w:r>
      <w:r w:rsidR="00335F2E" w:rsidRPr="000D5C2A">
        <w:rPr>
          <w:sz w:val="24"/>
          <w:szCs w:val="24"/>
        </w:rPr>
        <w:t xml:space="preserve">the Authorised Limit. </w:t>
      </w:r>
      <w:r w:rsidR="00A229D8" w:rsidRPr="000D5C2A">
        <w:rPr>
          <w:sz w:val="24"/>
          <w:szCs w:val="24"/>
        </w:rPr>
        <w:t xml:space="preserve"> </w:t>
      </w:r>
      <w:r w:rsidR="002A0A3E" w:rsidRPr="000D5C2A">
        <w:rPr>
          <w:sz w:val="24"/>
          <w:szCs w:val="24"/>
        </w:rPr>
        <w:t>The</w:t>
      </w:r>
      <w:r w:rsidR="00D176D5" w:rsidRPr="000D5C2A">
        <w:rPr>
          <w:sz w:val="24"/>
          <w:szCs w:val="24"/>
        </w:rPr>
        <w:t xml:space="preserve"> </w:t>
      </w:r>
      <w:r w:rsidR="002A0A3E" w:rsidRPr="000D5C2A">
        <w:rPr>
          <w:sz w:val="24"/>
          <w:szCs w:val="24"/>
        </w:rPr>
        <w:t>Prudential</w:t>
      </w:r>
      <w:r w:rsidR="00D176D5" w:rsidRPr="000D5C2A">
        <w:rPr>
          <w:sz w:val="24"/>
          <w:szCs w:val="24"/>
        </w:rPr>
        <w:t xml:space="preserve"> indicators </w:t>
      </w:r>
      <w:r w:rsidR="002A0A3E" w:rsidRPr="000D5C2A">
        <w:rPr>
          <w:sz w:val="24"/>
          <w:szCs w:val="24"/>
        </w:rPr>
        <w:t xml:space="preserve">are included </w:t>
      </w:r>
      <w:r w:rsidR="000D5C2A" w:rsidRPr="000D5C2A">
        <w:rPr>
          <w:sz w:val="24"/>
          <w:szCs w:val="24"/>
        </w:rPr>
        <w:t xml:space="preserve">in </w:t>
      </w:r>
      <w:r w:rsidR="002A0A3E" w:rsidRPr="000D5C2A">
        <w:rPr>
          <w:sz w:val="24"/>
          <w:szCs w:val="24"/>
        </w:rPr>
        <w:t>the Treasury</w:t>
      </w:r>
      <w:r w:rsidR="004D487A" w:rsidRPr="000D5C2A">
        <w:rPr>
          <w:sz w:val="24"/>
          <w:szCs w:val="24"/>
        </w:rPr>
        <w:t xml:space="preserve"> </w:t>
      </w:r>
      <w:r w:rsidR="00A229D8" w:rsidRPr="000D5C2A">
        <w:rPr>
          <w:sz w:val="24"/>
          <w:szCs w:val="24"/>
        </w:rPr>
        <w:t xml:space="preserve">Management </w:t>
      </w:r>
      <w:r w:rsidR="002A0A3E" w:rsidRPr="000D5C2A">
        <w:rPr>
          <w:sz w:val="24"/>
          <w:szCs w:val="24"/>
        </w:rPr>
        <w:t>Strategy</w:t>
      </w:r>
      <w:r w:rsidR="00D176D5" w:rsidRPr="000D5C2A">
        <w:rPr>
          <w:sz w:val="24"/>
          <w:szCs w:val="24"/>
        </w:rPr>
        <w:t>,</w:t>
      </w:r>
      <w:r w:rsidR="002A0A3E" w:rsidRPr="000D5C2A">
        <w:rPr>
          <w:sz w:val="24"/>
          <w:szCs w:val="24"/>
        </w:rPr>
        <w:t xml:space="preserve"> approved by Council on </w:t>
      </w:r>
      <w:r w:rsidR="004928E2">
        <w:rPr>
          <w:sz w:val="24"/>
          <w:szCs w:val="24"/>
        </w:rPr>
        <w:t>3</w:t>
      </w:r>
      <w:r w:rsidR="00764AF0">
        <w:rPr>
          <w:sz w:val="24"/>
          <w:szCs w:val="24"/>
        </w:rPr>
        <w:t xml:space="preserve"> </w:t>
      </w:r>
      <w:r w:rsidR="007C1F32">
        <w:rPr>
          <w:sz w:val="24"/>
          <w:szCs w:val="24"/>
        </w:rPr>
        <w:t>March</w:t>
      </w:r>
      <w:r w:rsidR="002A0A3E" w:rsidRPr="000D5C2A">
        <w:rPr>
          <w:sz w:val="24"/>
          <w:szCs w:val="24"/>
        </w:rPr>
        <w:t xml:space="preserve"> 20</w:t>
      </w:r>
      <w:r w:rsidR="004928E2">
        <w:rPr>
          <w:sz w:val="24"/>
          <w:szCs w:val="24"/>
        </w:rPr>
        <w:t>20</w:t>
      </w:r>
      <w:r w:rsidR="002A0A3E" w:rsidRPr="000D5C2A">
        <w:rPr>
          <w:sz w:val="24"/>
          <w:szCs w:val="24"/>
        </w:rPr>
        <w:t xml:space="preserve">.  </w:t>
      </w:r>
    </w:p>
    <w:p w:rsidR="00210C40" w:rsidRPr="000D5C2A" w:rsidRDefault="00210C40">
      <w:pPr>
        <w:ind w:left="720" w:hanging="720"/>
        <w:rPr>
          <w:sz w:val="24"/>
          <w:szCs w:val="24"/>
        </w:rPr>
      </w:pPr>
    </w:p>
    <w:p w:rsidR="004D487A" w:rsidRPr="000D5C2A" w:rsidRDefault="00FB0ABF" w:rsidP="004D487A">
      <w:pPr>
        <w:ind w:left="720" w:hanging="720"/>
        <w:rPr>
          <w:sz w:val="24"/>
          <w:szCs w:val="24"/>
        </w:rPr>
      </w:pPr>
      <w:r w:rsidRPr="000D5C2A">
        <w:rPr>
          <w:sz w:val="24"/>
          <w:szCs w:val="24"/>
        </w:rPr>
        <w:t>9</w:t>
      </w:r>
      <w:r w:rsidR="004D487A" w:rsidRPr="000D5C2A">
        <w:rPr>
          <w:sz w:val="24"/>
          <w:szCs w:val="24"/>
        </w:rPr>
        <w:t>.3</w:t>
      </w:r>
      <w:r w:rsidR="004D487A" w:rsidRPr="000D5C2A">
        <w:rPr>
          <w:sz w:val="24"/>
          <w:szCs w:val="24"/>
        </w:rPr>
        <w:tab/>
        <w:t>During the financial year the Council has</w:t>
      </w:r>
      <w:r w:rsidR="00D176D5" w:rsidRPr="000D5C2A">
        <w:rPr>
          <w:sz w:val="24"/>
          <w:szCs w:val="24"/>
        </w:rPr>
        <w:t>,</w:t>
      </w:r>
      <w:r w:rsidR="004D487A" w:rsidRPr="000D5C2A">
        <w:rPr>
          <w:sz w:val="24"/>
          <w:szCs w:val="24"/>
        </w:rPr>
        <w:t xml:space="preserve"> at all times operated within the treasury limits and prudential indicators as set out in the Councils</w:t>
      </w:r>
      <w:r w:rsidR="008A0541" w:rsidRPr="000D5C2A">
        <w:rPr>
          <w:sz w:val="24"/>
          <w:szCs w:val="24"/>
        </w:rPr>
        <w:t xml:space="preserve"> Treasury Management </w:t>
      </w:r>
      <w:r w:rsidR="004D487A" w:rsidRPr="000D5C2A">
        <w:rPr>
          <w:sz w:val="24"/>
          <w:szCs w:val="24"/>
        </w:rPr>
        <w:t xml:space="preserve">Strategy. </w:t>
      </w:r>
    </w:p>
    <w:p w:rsidR="00210C40" w:rsidRPr="000D5C2A" w:rsidRDefault="00210C40" w:rsidP="00210C40">
      <w:pPr>
        <w:ind w:left="720" w:hanging="720"/>
        <w:rPr>
          <w:sz w:val="24"/>
          <w:szCs w:val="24"/>
        </w:rPr>
      </w:pPr>
      <w:r w:rsidRPr="000D5C2A">
        <w:rPr>
          <w:sz w:val="24"/>
          <w:szCs w:val="24"/>
        </w:rPr>
        <w:t xml:space="preserve"> </w:t>
      </w:r>
    </w:p>
    <w:p w:rsidR="000D5C2A" w:rsidRDefault="00FB0ABF" w:rsidP="00D27EBB">
      <w:pPr>
        <w:ind w:left="709" w:hanging="709"/>
        <w:rPr>
          <w:sz w:val="24"/>
          <w:szCs w:val="24"/>
        </w:rPr>
      </w:pPr>
      <w:r w:rsidRPr="000D5C2A">
        <w:rPr>
          <w:sz w:val="24"/>
          <w:szCs w:val="24"/>
        </w:rPr>
        <w:t>9</w:t>
      </w:r>
      <w:r w:rsidR="00517BF1" w:rsidRPr="000D5C2A">
        <w:rPr>
          <w:sz w:val="24"/>
          <w:szCs w:val="24"/>
        </w:rPr>
        <w:t>.</w:t>
      </w:r>
      <w:r w:rsidR="004D487A" w:rsidRPr="000D5C2A">
        <w:rPr>
          <w:sz w:val="24"/>
          <w:szCs w:val="24"/>
        </w:rPr>
        <w:t>4</w:t>
      </w:r>
      <w:r w:rsidR="00517BF1" w:rsidRPr="000D5C2A">
        <w:rPr>
          <w:sz w:val="24"/>
          <w:szCs w:val="24"/>
        </w:rPr>
        <w:t xml:space="preserve"> </w:t>
      </w:r>
      <w:r w:rsidR="00517BF1" w:rsidRPr="000D5C2A">
        <w:rPr>
          <w:sz w:val="24"/>
          <w:szCs w:val="24"/>
        </w:rPr>
        <w:tab/>
      </w:r>
      <w:r w:rsidR="00D27EBB" w:rsidRPr="000D5C2A">
        <w:rPr>
          <w:sz w:val="24"/>
          <w:szCs w:val="24"/>
        </w:rPr>
        <w:t xml:space="preserve">These indicators are based on estimates of expected outcomes and are key indicators of affordability.  </w:t>
      </w:r>
      <w:r w:rsidR="001071BC" w:rsidRPr="000D5C2A">
        <w:rPr>
          <w:sz w:val="24"/>
          <w:szCs w:val="24"/>
        </w:rPr>
        <w:t xml:space="preserve">The outturn for the Prudential Indicators is shown in Appendix </w:t>
      </w:r>
      <w:r w:rsidR="001071BC">
        <w:rPr>
          <w:sz w:val="24"/>
          <w:szCs w:val="24"/>
        </w:rPr>
        <w:t>1</w:t>
      </w:r>
      <w:r w:rsidR="001071BC" w:rsidRPr="000D5C2A">
        <w:rPr>
          <w:sz w:val="24"/>
          <w:szCs w:val="24"/>
        </w:rPr>
        <w:t>.</w:t>
      </w:r>
      <w:r w:rsidR="004B150B">
        <w:rPr>
          <w:sz w:val="24"/>
          <w:szCs w:val="24"/>
        </w:rPr>
        <w:tab/>
      </w:r>
    </w:p>
    <w:p w:rsidR="000D5C2A" w:rsidRDefault="000D5C2A" w:rsidP="00D27EBB">
      <w:pPr>
        <w:ind w:left="709" w:hanging="709"/>
        <w:rPr>
          <w:sz w:val="24"/>
          <w:szCs w:val="24"/>
        </w:rPr>
      </w:pPr>
    </w:p>
    <w:p w:rsidR="0083678B" w:rsidRDefault="00FB0ABF">
      <w:pPr>
        <w:rPr>
          <w:b/>
          <w:bCs/>
          <w:sz w:val="24"/>
          <w:szCs w:val="24"/>
        </w:rPr>
      </w:pPr>
      <w:r>
        <w:rPr>
          <w:rFonts w:eastAsia="Arial Unicode MS" w:cs="Arial Unicode MS"/>
          <w:b/>
          <w:bCs/>
          <w:sz w:val="24"/>
          <w:szCs w:val="24"/>
        </w:rPr>
        <w:t>10</w:t>
      </w:r>
      <w:r w:rsidR="008E5188">
        <w:rPr>
          <w:rFonts w:eastAsia="Arial Unicode MS" w:cs="Arial Unicode MS"/>
          <w:b/>
          <w:bCs/>
          <w:sz w:val="24"/>
          <w:szCs w:val="24"/>
        </w:rPr>
        <w:tab/>
        <w:t>OPTIONS AVAILABLE</w:t>
      </w:r>
    </w:p>
    <w:p w:rsidR="0083678B" w:rsidRDefault="0083678B">
      <w:pPr>
        <w:rPr>
          <w:sz w:val="24"/>
          <w:szCs w:val="24"/>
        </w:rPr>
      </w:pPr>
    </w:p>
    <w:p w:rsidR="0083678B" w:rsidRDefault="00FB0ABF">
      <w:pPr>
        <w:ind w:left="720" w:hanging="720"/>
        <w:rPr>
          <w:sz w:val="24"/>
          <w:szCs w:val="24"/>
        </w:rPr>
      </w:pPr>
      <w:r>
        <w:rPr>
          <w:sz w:val="24"/>
          <w:szCs w:val="24"/>
        </w:rPr>
        <w:t>10</w:t>
      </w:r>
      <w:r w:rsidR="008E5188">
        <w:rPr>
          <w:sz w:val="24"/>
          <w:szCs w:val="24"/>
        </w:rPr>
        <w:t>.1</w:t>
      </w:r>
      <w:r w:rsidR="008E5188">
        <w:rPr>
          <w:sz w:val="24"/>
          <w:szCs w:val="24"/>
        </w:rPr>
        <w:tab/>
        <w:t xml:space="preserve">The transactions shown are historical and they were made in accordance with delegated powers and within the approved Treasury Management Practices and the </w:t>
      </w:r>
      <w:r w:rsidR="000A51E8">
        <w:rPr>
          <w:sz w:val="24"/>
          <w:szCs w:val="24"/>
        </w:rPr>
        <w:t xml:space="preserve">CIPFA </w:t>
      </w:r>
      <w:r w:rsidR="008E5188">
        <w:rPr>
          <w:sz w:val="24"/>
          <w:szCs w:val="24"/>
        </w:rPr>
        <w:t xml:space="preserve">Code of Practice. </w:t>
      </w:r>
      <w:r w:rsidR="000A51E8">
        <w:rPr>
          <w:sz w:val="24"/>
          <w:szCs w:val="24"/>
        </w:rPr>
        <w:t xml:space="preserve"> </w:t>
      </w:r>
      <w:r w:rsidR="008E5188">
        <w:rPr>
          <w:sz w:val="24"/>
          <w:szCs w:val="24"/>
        </w:rPr>
        <w:t>As such these cannot be changed.</w:t>
      </w:r>
    </w:p>
    <w:p w:rsidR="000D5C2A" w:rsidRDefault="000D5C2A">
      <w:pPr>
        <w:ind w:left="720" w:hanging="720"/>
        <w:rPr>
          <w:sz w:val="24"/>
          <w:szCs w:val="24"/>
        </w:rPr>
      </w:pPr>
    </w:p>
    <w:p w:rsidR="004B150B" w:rsidRDefault="00FB0ABF">
      <w:pPr>
        <w:ind w:left="720" w:hanging="720"/>
        <w:rPr>
          <w:sz w:val="24"/>
          <w:szCs w:val="24"/>
        </w:rPr>
      </w:pPr>
      <w:r>
        <w:rPr>
          <w:sz w:val="24"/>
          <w:szCs w:val="24"/>
        </w:rPr>
        <w:t>10</w:t>
      </w:r>
      <w:r w:rsidR="008E5188">
        <w:rPr>
          <w:sz w:val="24"/>
          <w:szCs w:val="24"/>
        </w:rPr>
        <w:t>.2</w:t>
      </w:r>
      <w:r w:rsidR="008E5188">
        <w:rPr>
          <w:sz w:val="24"/>
          <w:szCs w:val="24"/>
        </w:rPr>
        <w:tab/>
        <w:t>There are no indications that any of the investments made by the Council are in risk or not being repaid</w:t>
      </w:r>
      <w:r w:rsidR="000A51E8">
        <w:rPr>
          <w:sz w:val="24"/>
          <w:szCs w:val="24"/>
        </w:rPr>
        <w:t>.  T</w:t>
      </w:r>
      <w:r w:rsidR="008E5188">
        <w:rPr>
          <w:sz w:val="24"/>
          <w:szCs w:val="24"/>
        </w:rPr>
        <w:t>herefore</w:t>
      </w:r>
      <w:r w:rsidR="000A51E8">
        <w:rPr>
          <w:sz w:val="24"/>
          <w:szCs w:val="24"/>
        </w:rPr>
        <w:t>,</w:t>
      </w:r>
      <w:r w:rsidR="008E5188">
        <w:rPr>
          <w:sz w:val="24"/>
          <w:szCs w:val="24"/>
        </w:rPr>
        <w:t xml:space="preserve"> it is not proposed to take out money invested with existing financial institutions before its maturity date. This would result in penalties and the loss of interest if undertaken.</w:t>
      </w:r>
    </w:p>
    <w:p w:rsidR="009A6179" w:rsidRDefault="009A6179">
      <w:pPr>
        <w:ind w:left="720" w:hanging="720"/>
        <w:rPr>
          <w:sz w:val="24"/>
          <w:szCs w:val="24"/>
        </w:rPr>
      </w:pPr>
    </w:p>
    <w:p w:rsidR="0083678B" w:rsidRDefault="009A6179">
      <w:pPr>
        <w:rPr>
          <w:b/>
          <w:bCs/>
          <w:sz w:val="24"/>
          <w:szCs w:val="24"/>
        </w:rPr>
      </w:pPr>
      <w:r>
        <w:rPr>
          <w:rFonts w:eastAsia="Arial Unicode MS" w:cs="Arial Unicode MS"/>
          <w:b/>
          <w:bCs/>
          <w:sz w:val="24"/>
          <w:szCs w:val="24"/>
        </w:rPr>
        <w:t>1</w:t>
      </w:r>
      <w:r w:rsidR="00FB0ABF">
        <w:rPr>
          <w:rFonts w:eastAsia="Arial Unicode MS" w:cs="Arial Unicode MS"/>
          <w:b/>
          <w:bCs/>
          <w:sz w:val="24"/>
          <w:szCs w:val="24"/>
        </w:rPr>
        <w:t>1</w:t>
      </w:r>
      <w:r w:rsidR="008E5188">
        <w:rPr>
          <w:rFonts w:eastAsia="Arial Unicode MS" w:cs="Arial Unicode MS"/>
          <w:b/>
          <w:bCs/>
          <w:sz w:val="24"/>
          <w:szCs w:val="24"/>
        </w:rPr>
        <w:t>.</w:t>
      </w:r>
      <w:r w:rsidR="008E5188">
        <w:rPr>
          <w:rFonts w:eastAsia="Arial Unicode MS" w:cs="Arial Unicode MS"/>
          <w:b/>
          <w:bCs/>
          <w:sz w:val="24"/>
          <w:szCs w:val="24"/>
        </w:rPr>
        <w:tab/>
        <w:t>RISK ASSESSMENT OF RECOMMENDATIONS AND OPTIONS</w:t>
      </w:r>
    </w:p>
    <w:p w:rsidR="0083678B" w:rsidRDefault="008E5188">
      <w:pPr>
        <w:rPr>
          <w:sz w:val="24"/>
          <w:szCs w:val="24"/>
        </w:rPr>
      </w:pPr>
      <w:r>
        <w:rPr>
          <w:b/>
          <w:bCs/>
          <w:sz w:val="24"/>
          <w:szCs w:val="24"/>
        </w:rPr>
        <w:tab/>
      </w:r>
    </w:p>
    <w:p w:rsidR="0083678B" w:rsidRDefault="009A6179">
      <w:pPr>
        <w:rPr>
          <w:b/>
          <w:bCs/>
          <w:sz w:val="24"/>
          <w:szCs w:val="24"/>
        </w:rPr>
      </w:pPr>
      <w:r>
        <w:rPr>
          <w:rFonts w:eastAsia="Arial Unicode MS" w:cs="Arial Unicode MS"/>
          <w:b/>
          <w:bCs/>
          <w:sz w:val="24"/>
          <w:szCs w:val="24"/>
        </w:rPr>
        <w:t>1</w:t>
      </w:r>
      <w:r w:rsidR="00FB0ABF">
        <w:rPr>
          <w:rFonts w:eastAsia="Arial Unicode MS" w:cs="Arial Unicode MS"/>
          <w:b/>
          <w:bCs/>
          <w:sz w:val="24"/>
          <w:szCs w:val="24"/>
        </w:rPr>
        <w:t>1</w:t>
      </w:r>
      <w:r w:rsidR="008E5188">
        <w:rPr>
          <w:rFonts w:eastAsia="Arial Unicode MS" w:cs="Arial Unicode MS"/>
          <w:b/>
          <w:bCs/>
          <w:sz w:val="24"/>
          <w:szCs w:val="24"/>
        </w:rPr>
        <w:t xml:space="preserve">.1 </w:t>
      </w:r>
      <w:r w:rsidR="008E5188">
        <w:rPr>
          <w:rFonts w:eastAsia="Arial Unicode MS" w:cs="Arial Unicode MS"/>
          <w:b/>
          <w:bCs/>
          <w:sz w:val="24"/>
          <w:szCs w:val="24"/>
        </w:rPr>
        <w:tab/>
        <w:t>General Assessment of Risk</w:t>
      </w:r>
    </w:p>
    <w:p w:rsidR="0083678B" w:rsidRDefault="0083678B">
      <w:pPr>
        <w:rPr>
          <w:sz w:val="24"/>
          <w:szCs w:val="24"/>
          <w:shd w:val="clear" w:color="auto" w:fill="00FFFF"/>
        </w:rPr>
      </w:pPr>
    </w:p>
    <w:p w:rsidR="0083678B" w:rsidRDefault="009A6179" w:rsidP="001D2B58">
      <w:pPr>
        <w:ind w:left="720" w:hanging="720"/>
        <w:rPr>
          <w:sz w:val="24"/>
          <w:szCs w:val="24"/>
        </w:rPr>
      </w:pPr>
      <w:r>
        <w:rPr>
          <w:sz w:val="24"/>
          <w:szCs w:val="24"/>
        </w:rPr>
        <w:t>1</w:t>
      </w:r>
      <w:r w:rsidR="00FB0ABF">
        <w:rPr>
          <w:sz w:val="24"/>
          <w:szCs w:val="24"/>
        </w:rPr>
        <w:t>1</w:t>
      </w:r>
      <w:r w:rsidR="008E5188">
        <w:rPr>
          <w:sz w:val="24"/>
          <w:szCs w:val="24"/>
        </w:rPr>
        <w:t>.1</w:t>
      </w:r>
      <w:r w:rsidR="00AD1D97">
        <w:rPr>
          <w:sz w:val="24"/>
          <w:szCs w:val="24"/>
        </w:rPr>
        <w:tab/>
      </w:r>
      <w:r w:rsidR="008E5188">
        <w:rPr>
          <w:sz w:val="24"/>
          <w:szCs w:val="24"/>
        </w:rPr>
        <w:t>In terms of risk</w:t>
      </w:r>
      <w:r w:rsidR="00AD1D97">
        <w:rPr>
          <w:sz w:val="24"/>
          <w:szCs w:val="24"/>
        </w:rPr>
        <w:t>;</w:t>
      </w:r>
      <w:r w:rsidR="008E5188">
        <w:rPr>
          <w:sz w:val="24"/>
          <w:szCs w:val="24"/>
        </w:rPr>
        <w:t xml:space="preserve"> the collapse of finan</w:t>
      </w:r>
      <w:r w:rsidR="008C002C">
        <w:rPr>
          <w:sz w:val="24"/>
          <w:szCs w:val="24"/>
        </w:rPr>
        <w:t>cial institutions during 2008/</w:t>
      </w:r>
      <w:r w:rsidR="008E5188">
        <w:rPr>
          <w:sz w:val="24"/>
          <w:szCs w:val="24"/>
        </w:rPr>
        <w:t xml:space="preserve">09 and the subsequent ‘credit crunch’ has made the identification of those organisations which meet the Council’s requirements more difficult and the unstable economic climate throughout the world has meant that previously internationally regarded institutions and countries have had their ratings reduced or are on alert. </w:t>
      </w:r>
      <w:r>
        <w:rPr>
          <w:sz w:val="24"/>
          <w:szCs w:val="24"/>
        </w:rPr>
        <w:t xml:space="preserve"> </w:t>
      </w:r>
      <w:r w:rsidR="008E5188">
        <w:rPr>
          <w:sz w:val="24"/>
          <w:szCs w:val="24"/>
        </w:rPr>
        <w:t>Therefore, risks assessed in previous years as low have increased to the current assessment of medium in terms of likelihood and high in terms of financial impact and actions have been put in place to help address this increased risk.</w:t>
      </w:r>
    </w:p>
    <w:p w:rsidR="00CE05F0" w:rsidRDefault="00CE05F0" w:rsidP="001D2B58">
      <w:pPr>
        <w:ind w:left="720" w:hanging="720"/>
        <w:rPr>
          <w:sz w:val="24"/>
          <w:szCs w:val="24"/>
        </w:rPr>
      </w:pPr>
    </w:p>
    <w:p w:rsidR="00CE05F0" w:rsidRDefault="00CE05F0" w:rsidP="001D2B58">
      <w:pPr>
        <w:ind w:left="720" w:hanging="720"/>
        <w:rPr>
          <w:sz w:val="24"/>
          <w:szCs w:val="24"/>
        </w:rPr>
      </w:pPr>
    </w:p>
    <w:p w:rsidR="00CE05F0" w:rsidRDefault="00CE05F0" w:rsidP="001D2B58">
      <w:pPr>
        <w:ind w:left="720" w:hanging="720"/>
        <w:rPr>
          <w:sz w:val="24"/>
          <w:szCs w:val="24"/>
        </w:rPr>
      </w:pPr>
    </w:p>
    <w:p w:rsidR="00CE05F0" w:rsidRDefault="00CE05F0" w:rsidP="001D2B58">
      <w:pPr>
        <w:ind w:left="720" w:hanging="720"/>
        <w:rPr>
          <w:sz w:val="24"/>
          <w:szCs w:val="24"/>
        </w:rPr>
      </w:pPr>
    </w:p>
    <w:p w:rsidR="00CE05F0" w:rsidRDefault="00CE05F0" w:rsidP="001D2B58">
      <w:pPr>
        <w:ind w:left="720" w:hanging="720"/>
        <w:rPr>
          <w:sz w:val="24"/>
          <w:szCs w:val="24"/>
        </w:rPr>
      </w:pPr>
    </w:p>
    <w:p w:rsidR="00CE05F0" w:rsidRDefault="00CE05F0" w:rsidP="001D2B58">
      <w:pPr>
        <w:ind w:left="720" w:hanging="720"/>
        <w:rPr>
          <w:sz w:val="24"/>
          <w:szCs w:val="24"/>
        </w:rPr>
      </w:pPr>
    </w:p>
    <w:p w:rsidR="007C781E" w:rsidRDefault="007C781E" w:rsidP="001D2B58">
      <w:pPr>
        <w:ind w:left="720" w:hanging="720"/>
        <w:rPr>
          <w:sz w:val="24"/>
          <w:szCs w:val="24"/>
        </w:rPr>
      </w:pPr>
    </w:p>
    <w:p w:rsidR="007C781E" w:rsidRDefault="007C781E" w:rsidP="001D2B58">
      <w:pPr>
        <w:ind w:left="720" w:hanging="720"/>
        <w:rPr>
          <w:sz w:val="24"/>
          <w:szCs w:val="24"/>
        </w:rPr>
      </w:pPr>
    </w:p>
    <w:p w:rsidR="007C781E" w:rsidRDefault="007C781E" w:rsidP="001D2B58">
      <w:pPr>
        <w:ind w:left="720" w:hanging="720"/>
        <w:rPr>
          <w:sz w:val="24"/>
          <w:szCs w:val="24"/>
        </w:rPr>
      </w:pPr>
    </w:p>
    <w:p w:rsidR="007C781E" w:rsidRDefault="007C781E" w:rsidP="001D2B58">
      <w:pPr>
        <w:ind w:left="720" w:hanging="720"/>
        <w:rPr>
          <w:sz w:val="24"/>
          <w:szCs w:val="24"/>
        </w:rPr>
      </w:pPr>
    </w:p>
    <w:p w:rsidR="007C781E" w:rsidRDefault="007C781E" w:rsidP="001D2B58">
      <w:pPr>
        <w:ind w:left="720" w:hanging="720"/>
        <w:rPr>
          <w:sz w:val="24"/>
          <w:szCs w:val="24"/>
        </w:rPr>
      </w:pPr>
    </w:p>
    <w:p w:rsidR="007C781E" w:rsidRDefault="007C781E" w:rsidP="001D2B58">
      <w:pPr>
        <w:ind w:left="720" w:hanging="720"/>
        <w:rPr>
          <w:sz w:val="24"/>
          <w:szCs w:val="24"/>
        </w:rPr>
      </w:pPr>
    </w:p>
    <w:p w:rsidR="007C781E" w:rsidRDefault="007C781E" w:rsidP="001D2B58">
      <w:pPr>
        <w:ind w:left="720" w:hanging="720"/>
        <w:rPr>
          <w:sz w:val="24"/>
          <w:szCs w:val="24"/>
        </w:rPr>
      </w:pPr>
    </w:p>
    <w:p w:rsidR="007C781E" w:rsidRDefault="007C781E" w:rsidP="001D2B58">
      <w:pPr>
        <w:ind w:left="720" w:hanging="720"/>
        <w:rPr>
          <w:sz w:val="24"/>
          <w:szCs w:val="24"/>
        </w:rPr>
      </w:pPr>
    </w:p>
    <w:p w:rsidR="007C781E" w:rsidRDefault="007C781E" w:rsidP="001D2B58">
      <w:pPr>
        <w:ind w:left="720" w:hanging="720"/>
        <w:rPr>
          <w:sz w:val="24"/>
          <w:szCs w:val="24"/>
        </w:rPr>
      </w:pPr>
    </w:p>
    <w:p w:rsidR="007C781E" w:rsidRDefault="007C781E" w:rsidP="001D2B58">
      <w:pPr>
        <w:ind w:left="720" w:hanging="720"/>
        <w:rPr>
          <w:sz w:val="24"/>
          <w:szCs w:val="24"/>
        </w:rPr>
      </w:pPr>
    </w:p>
    <w:p w:rsidR="00CE05F0" w:rsidRDefault="00CE05F0" w:rsidP="001D2B58">
      <w:pPr>
        <w:ind w:left="720" w:hanging="720"/>
        <w:rPr>
          <w:sz w:val="24"/>
          <w:szCs w:val="24"/>
        </w:rPr>
      </w:pPr>
    </w:p>
    <w:p w:rsidR="00CE05F0" w:rsidRDefault="00CE05F0" w:rsidP="001D2B58">
      <w:pPr>
        <w:ind w:left="720" w:hanging="720"/>
        <w:rPr>
          <w:sz w:val="24"/>
          <w:szCs w:val="24"/>
        </w:rPr>
      </w:pPr>
    </w:p>
    <w:p w:rsidR="00CE05F0" w:rsidRDefault="00CE05F0" w:rsidP="001D2B58">
      <w:pPr>
        <w:ind w:left="720" w:hanging="720"/>
        <w:rPr>
          <w:sz w:val="24"/>
          <w:szCs w:val="24"/>
        </w:rPr>
      </w:pPr>
    </w:p>
    <w:p w:rsidR="00587AEA" w:rsidRDefault="00587AEA" w:rsidP="001D2B58">
      <w:pPr>
        <w:ind w:left="720" w:hanging="720"/>
        <w:rPr>
          <w:sz w:val="24"/>
          <w:szCs w:val="24"/>
        </w:rPr>
      </w:pPr>
    </w:p>
    <w:p w:rsidR="001D2B58" w:rsidRDefault="001D2B58" w:rsidP="001D2B58">
      <w:pPr>
        <w:ind w:left="720" w:hanging="720"/>
        <w:rPr>
          <w:sz w:val="24"/>
          <w:szCs w:val="24"/>
        </w:rPr>
      </w:pPr>
    </w:p>
    <w:tbl>
      <w:tblPr>
        <w:tblW w:w="9923"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87"/>
        <w:gridCol w:w="2530"/>
        <w:gridCol w:w="1042"/>
        <w:gridCol w:w="4664"/>
      </w:tblGrid>
      <w:tr w:rsidR="0083678B" w:rsidRPr="006606B5" w:rsidTr="002B1608">
        <w:trPr>
          <w:trHeight w:val="133"/>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678B" w:rsidRPr="006606B5" w:rsidRDefault="008E5188">
            <w:r w:rsidRPr="006606B5">
              <w:t>Risk</w:t>
            </w: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678B" w:rsidRPr="006606B5" w:rsidRDefault="008E5188">
            <w:r w:rsidRPr="006606B5">
              <w:t>Risk Assessment</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6B5" w:rsidRPr="006606B5" w:rsidRDefault="008E5188">
            <w:r w:rsidRPr="006606B5">
              <w:t xml:space="preserve">Risk </w:t>
            </w:r>
          </w:p>
          <w:p w:rsidR="0083678B" w:rsidRPr="006606B5" w:rsidRDefault="008E5188">
            <w:r w:rsidRPr="006606B5">
              <w:t>Rating</w:t>
            </w:r>
          </w:p>
        </w:tc>
        <w:tc>
          <w:tcPr>
            <w:tcW w:w="4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678B" w:rsidRPr="006606B5" w:rsidRDefault="008E5188">
            <w:r w:rsidRPr="006606B5">
              <w:t>Risk management</w:t>
            </w:r>
          </w:p>
          <w:p w:rsidR="00053999" w:rsidRPr="006606B5" w:rsidRDefault="00053999"/>
        </w:tc>
      </w:tr>
      <w:tr w:rsidR="0083678B" w:rsidRPr="006606B5" w:rsidTr="002B1608">
        <w:trPr>
          <w:trHeight w:val="5934"/>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678B" w:rsidRPr="006606B5" w:rsidRDefault="008E5188">
            <w:pPr>
              <w:jc w:val="left"/>
              <w:rPr>
                <w:b/>
                <w:bCs/>
              </w:rPr>
            </w:pPr>
            <w:r w:rsidRPr="006606B5">
              <w:rPr>
                <w:b/>
                <w:bCs/>
              </w:rPr>
              <w:t>Financial</w:t>
            </w:r>
          </w:p>
          <w:p w:rsidR="0083678B" w:rsidRPr="006606B5" w:rsidRDefault="008E5188">
            <w:pPr>
              <w:jc w:val="left"/>
            </w:pPr>
            <w:r w:rsidRPr="006606B5">
              <w:t>That the transactions shown are incorrect or inappropriate</w:t>
            </w:r>
          </w:p>
          <w:p w:rsidR="0083678B" w:rsidRPr="006606B5" w:rsidRDefault="0083678B">
            <w:pPr>
              <w:jc w:val="left"/>
            </w:pPr>
          </w:p>
          <w:p w:rsidR="0083678B" w:rsidRPr="006606B5" w:rsidRDefault="0083678B">
            <w:pPr>
              <w:jc w:val="left"/>
            </w:pPr>
          </w:p>
          <w:p w:rsidR="0083678B" w:rsidRPr="006606B5" w:rsidRDefault="0083678B">
            <w:pPr>
              <w:jc w:val="left"/>
            </w:pPr>
          </w:p>
          <w:p w:rsidR="0083678B" w:rsidRPr="006606B5" w:rsidRDefault="0083678B">
            <w:pPr>
              <w:jc w:val="left"/>
            </w:pPr>
          </w:p>
          <w:p w:rsidR="0083678B" w:rsidRPr="006606B5" w:rsidRDefault="0083678B">
            <w:pPr>
              <w:jc w:val="left"/>
            </w:pPr>
          </w:p>
          <w:p w:rsidR="0083678B" w:rsidRPr="006606B5" w:rsidRDefault="008E5188">
            <w:pPr>
              <w:jc w:val="left"/>
            </w:pPr>
            <w:r w:rsidRPr="006606B5">
              <w:t>That investments are lost due to placing money with institutions which are not secure</w:t>
            </w:r>
          </w:p>
          <w:p w:rsidR="006606B5" w:rsidRPr="006606B5" w:rsidRDefault="006606B5">
            <w:pPr>
              <w:jc w:val="left"/>
            </w:pPr>
          </w:p>
          <w:p w:rsidR="006606B5" w:rsidRPr="006606B5" w:rsidRDefault="006606B5">
            <w:pPr>
              <w:jc w:val="left"/>
            </w:pPr>
          </w:p>
          <w:p w:rsidR="006606B5" w:rsidRPr="006606B5" w:rsidRDefault="006606B5">
            <w:pPr>
              <w:jc w:val="left"/>
            </w:pPr>
          </w:p>
          <w:p w:rsidR="006606B5" w:rsidRPr="006606B5" w:rsidRDefault="006606B5">
            <w:pPr>
              <w:jc w:val="left"/>
            </w:pPr>
          </w:p>
          <w:p w:rsidR="006606B5" w:rsidRPr="006606B5" w:rsidRDefault="006606B5">
            <w:pPr>
              <w:jc w:val="left"/>
            </w:pPr>
          </w:p>
          <w:p w:rsidR="006606B5" w:rsidRPr="006606B5" w:rsidRDefault="006606B5">
            <w:pPr>
              <w:jc w:val="left"/>
            </w:pPr>
          </w:p>
          <w:p w:rsidR="006606B5" w:rsidRPr="006606B5" w:rsidRDefault="006606B5">
            <w:pPr>
              <w:jc w:val="left"/>
            </w:pPr>
          </w:p>
          <w:p w:rsidR="006606B5" w:rsidRPr="006606B5" w:rsidRDefault="006606B5">
            <w:pPr>
              <w:jc w:val="left"/>
            </w:pPr>
          </w:p>
          <w:p w:rsidR="006606B5" w:rsidRPr="006606B5" w:rsidRDefault="006606B5">
            <w:pPr>
              <w:jc w:val="left"/>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678B" w:rsidRPr="006606B5" w:rsidRDefault="0083678B">
            <w:pPr>
              <w:jc w:val="left"/>
            </w:pPr>
          </w:p>
          <w:p w:rsidR="0083678B" w:rsidRPr="006606B5" w:rsidRDefault="008E5188">
            <w:pPr>
              <w:jc w:val="left"/>
            </w:pPr>
            <w:r w:rsidRPr="006606B5">
              <w:t>Impact on lawfulness of transactions and future decision making</w:t>
            </w:r>
          </w:p>
          <w:p w:rsidR="0083678B" w:rsidRPr="006606B5" w:rsidRDefault="0083678B">
            <w:pPr>
              <w:jc w:val="left"/>
            </w:pPr>
          </w:p>
          <w:p w:rsidR="006606B5" w:rsidRPr="006606B5" w:rsidRDefault="006606B5">
            <w:pPr>
              <w:jc w:val="left"/>
            </w:pPr>
          </w:p>
          <w:p w:rsidR="006606B5" w:rsidRDefault="006606B5">
            <w:pPr>
              <w:jc w:val="left"/>
            </w:pPr>
          </w:p>
          <w:p w:rsidR="0083678B" w:rsidRPr="006606B5" w:rsidRDefault="008E5188">
            <w:pPr>
              <w:jc w:val="left"/>
            </w:pPr>
            <w:r w:rsidRPr="006606B5">
              <w:t xml:space="preserve">Loss of Investments </w:t>
            </w:r>
          </w:p>
          <w:p w:rsidR="0083678B" w:rsidRPr="006606B5" w:rsidRDefault="0083678B">
            <w:pPr>
              <w:jc w:val="left"/>
            </w:pPr>
          </w:p>
          <w:p w:rsidR="0083678B" w:rsidRPr="006606B5" w:rsidRDefault="008E5188">
            <w:pPr>
              <w:jc w:val="left"/>
            </w:pPr>
            <w:r w:rsidRPr="006606B5">
              <w:t>High interest payments</w:t>
            </w:r>
          </w:p>
          <w:p w:rsidR="0083678B" w:rsidRPr="006606B5" w:rsidRDefault="0083678B">
            <w:pPr>
              <w:jc w:val="left"/>
            </w:pPr>
          </w:p>
          <w:p w:rsidR="0083678B" w:rsidRPr="006606B5" w:rsidRDefault="008E5188">
            <w:pPr>
              <w:jc w:val="left"/>
            </w:pPr>
            <w:r w:rsidRPr="006606B5">
              <w:t>Loss of investments in the current economic climate is a major issue as institutions fail as a result of the credit crunch and the economic situation in their countries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678B" w:rsidRPr="006606B5" w:rsidRDefault="0083678B">
            <w:pPr>
              <w:jc w:val="left"/>
            </w:pPr>
          </w:p>
          <w:p w:rsidR="0083678B" w:rsidRPr="006606B5" w:rsidRDefault="008E5188">
            <w:pPr>
              <w:jc w:val="left"/>
            </w:pPr>
            <w:r w:rsidRPr="006606B5">
              <w:t>Low</w:t>
            </w:r>
          </w:p>
          <w:p w:rsidR="0083678B" w:rsidRPr="006606B5" w:rsidRDefault="0083678B">
            <w:pPr>
              <w:jc w:val="left"/>
            </w:pPr>
          </w:p>
          <w:p w:rsidR="0083678B" w:rsidRPr="006606B5" w:rsidRDefault="0083678B">
            <w:pPr>
              <w:jc w:val="left"/>
            </w:pPr>
          </w:p>
          <w:p w:rsidR="0083678B" w:rsidRPr="006606B5" w:rsidRDefault="0083678B">
            <w:pPr>
              <w:jc w:val="left"/>
            </w:pPr>
          </w:p>
          <w:p w:rsidR="0083678B" w:rsidRPr="006606B5" w:rsidRDefault="0083678B">
            <w:pPr>
              <w:jc w:val="left"/>
            </w:pPr>
          </w:p>
          <w:p w:rsidR="006606B5" w:rsidRPr="006606B5" w:rsidRDefault="006606B5">
            <w:pPr>
              <w:jc w:val="left"/>
            </w:pPr>
          </w:p>
          <w:p w:rsidR="0083678B" w:rsidRPr="006606B5" w:rsidRDefault="008E5188">
            <w:pPr>
              <w:jc w:val="left"/>
            </w:pPr>
            <w:r w:rsidRPr="006606B5">
              <w:t>Low</w:t>
            </w:r>
          </w:p>
          <w:p w:rsidR="0083678B" w:rsidRPr="006606B5" w:rsidRDefault="0083678B">
            <w:pPr>
              <w:jc w:val="left"/>
            </w:pPr>
          </w:p>
          <w:p w:rsidR="0083678B" w:rsidRPr="006606B5" w:rsidRDefault="008E5188">
            <w:pPr>
              <w:jc w:val="left"/>
            </w:pPr>
            <w:r w:rsidRPr="006606B5">
              <w:t>Low</w:t>
            </w:r>
          </w:p>
          <w:p w:rsidR="0083678B" w:rsidRPr="006606B5" w:rsidRDefault="0083678B">
            <w:pPr>
              <w:jc w:val="left"/>
            </w:pPr>
          </w:p>
          <w:p w:rsidR="0083678B" w:rsidRPr="006606B5" w:rsidRDefault="008E5188">
            <w:pPr>
              <w:jc w:val="left"/>
            </w:pPr>
            <w:r w:rsidRPr="006606B5">
              <w:t>Medium / High</w:t>
            </w:r>
          </w:p>
        </w:tc>
        <w:tc>
          <w:tcPr>
            <w:tcW w:w="4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678B" w:rsidRPr="006606B5" w:rsidRDefault="0083678B">
            <w:pPr>
              <w:jc w:val="left"/>
            </w:pPr>
          </w:p>
          <w:p w:rsidR="0083678B" w:rsidRPr="006606B5" w:rsidRDefault="008E5188">
            <w:pPr>
              <w:jc w:val="left"/>
            </w:pPr>
            <w:r w:rsidRPr="006606B5">
              <w:t>Procedures are in place to ensure that only lawful and appropriate transactions take place in line with the Council’s Treasury Management and Investment Strategy and CIPFA Code on Treasury Management</w:t>
            </w:r>
          </w:p>
          <w:p w:rsidR="0083678B" w:rsidRPr="006606B5" w:rsidRDefault="0083678B">
            <w:pPr>
              <w:jc w:val="left"/>
            </w:pPr>
          </w:p>
          <w:p w:rsidR="0083678B" w:rsidRPr="006606B5" w:rsidRDefault="008E5188">
            <w:pPr>
              <w:jc w:val="left"/>
            </w:pPr>
            <w:r w:rsidRPr="006606B5">
              <w:t>Additional information is used from the Council’s Treasury Management consultants providing a weekly review of institutions.</w:t>
            </w:r>
          </w:p>
          <w:p w:rsidR="006606B5" w:rsidRDefault="006606B5">
            <w:pPr>
              <w:jc w:val="left"/>
            </w:pPr>
          </w:p>
          <w:p w:rsidR="0083678B" w:rsidRPr="007B7076" w:rsidRDefault="008E5188">
            <w:pPr>
              <w:jc w:val="left"/>
            </w:pPr>
            <w:r w:rsidRPr="007B7076">
              <w:t xml:space="preserve">A </w:t>
            </w:r>
            <w:r w:rsidR="007B7076">
              <w:t>bi-</w:t>
            </w:r>
            <w:r w:rsidRPr="007B7076">
              <w:t>monthly review of the Treasury Management positions and strategy is undertaken by senior Financ</w:t>
            </w:r>
            <w:r w:rsidR="00036D1A" w:rsidRPr="007B7076">
              <w:t xml:space="preserve">ial </w:t>
            </w:r>
            <w:r w:rsidRPr="007B7076">
              <w:t xml:space="preserve">Services officers and changes made as appropriate. </w:t>
            </w:r>
          </w:p>
          <w:p w:rsidR="006606B5" w:rsidRPr="006606B5" w:rsidRDefault="006606B5" w:rsidP="007B7076">
            <w:pPr>
              <w:jc w:val="left"/>
            </w:pPr>
          </w:p>
        </w:tc>
      </w:tr>
      <w:tr w:rsidR="0083678B" w:rsidRPr="006606B5" w:rsidTr="002B1608">
        <w:trPr>
          <w:trHeight w:val="3693"/>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678B" w:rsidRPr="006606B5" w:rsidRDefault="008E5188">
            <w:pPr>
              <w:jc w:val="left"/>
              <w:rPr>
                <w:b/>
                <w:bCs/>
              </w:rPr>
            </w:pPr>
            <w:r w:rsidRPr="006606B5">
              <w:rPr>
                <w:b/>
                <w:bCs/>
              </w:rPr>
              <w:t>Reputational</w:t>
            </w:r>
          </w:p>
          <w:p w:rsidR="0083678B" w:rsidRPr="006606B5" w:rsidRDefault="008E5188">
            <w:pPr>
              <w:jc w:val="left"/>
            </w:pPr>
            <w:r w:rsidRPr="006606B5">
              <w:t>That the Council is borrowing from or investing with inappropriate organisations resulting in the loss of investments</w:t>
            </w: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678B" w:rsidRPr="006606B5" w:rsidRDefault="0083678B">
            <w:pPr>
              <w:jc w:val="left"/>
            </w:pPr>
          </w:p>
          <w:p w:rsidR="0083678B" w:rsidRPr="006606B5" w:rsidRDefault="008E5188">
            <w:pPr>
              <w:jc w:val="left"/>
            </w:pPr>
            <w:r w:rsidRPr="006606B5">
              <w:t>Council assets need to be safe and there is confidence in their management. In the current climate there are few institutions which have retained either high ratings or stable outlooks.</w:t>
            </w:r>
          </w:p>
          <w:p w:rsidR="0083678B" w:rsidRPr="006606B5" w:rsidRDefault="0083678B">
            <w:pPr>
              <w:jc w:val="left"/>
            </w:pPr>
          </w:p>
          <w:p w:rsidR="0083678B" w:rsidRPr="006606B5" w:rsidRDefault="008E5188">
            <w:pPr>
              <w:jc w:val="left"/>
            </w:pPr>
            <w:r w:rsidRPr="006606B5">
              <w:t>In terms of reputation, the Council would be one of many major institutions affected by events over which there is little control</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678B" w:rsidRPr="006606B5" w:rsidRDefault="0083678B">
            <w:pPr>
              <w:jc w:val="left"/>
            </w:pPr>
          </w:p>
          <w:p w:rsidR="0083678B" w:rsidRPr="006606B5" w:rsidRDefault="008E5188">
            <w:pPr>
              <w:jc w:val="left"/>
            </w:pPr>
            <w:r w:rsidRPr="006606B5">
              <w:t xml:space="preserve">Medium </w:t>
            </w:r>
          </w:p>
        </w:tc>
        <w:tc>
          <w:tcPr>
            <w:tcW w:w="4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678B" w:rsidRPr="006606B5" w:rsidRDefault="0083678B">
            <w:pPr>
              <w:jc w:val="left"/>
            </w:pPr>
          </w:p>
          <w:p w:rsidR="0083678B" w:rsidRPr="007B7076" w:rsidRDefault="008E5188">
            <w:pPr>
              <w:jc w:val="left"/>
            </w:pPr>
            <w:r w:rsidRPr="007B7076">
              <w:t xml:space="preserve">A </w:t>
            </w:r>
            <w:r w:rsidR="007B7076">
              <w:t>bi-</w:t>
            </w:r>
            <w:r w:rsidRPr="007B7076">
              <w:t xml:space="preserve">monthly review of the Treasury Management positions and strategy is undertaken by senior </w:t>
            </w:r>
            <w:r w:rsidR="00036D1A" w:rsidRPr="007B7076">
              <w:t>Financial</w:t>
            </w:r>
            <w:r w:rsidRPr="007B7076">
              <w:t xml:space="preserve"> Services officers and changes made as appropriate. </w:t>
            </w:r>
          </w:p>
          <w:p w:rsidR="0083678B" w:rsidRPr="006606B5" w:rsidRDefault="0083678B">
            <w:pPr>
              <w:jc w:val="left"/>
            </w:pPr>
          </w:p>
        </w:tc>
      </w:tr>
    </w:tbl>
    <w:p w:rsidR="002B1608" w:rsidRDefault="002B1608">
      <w:pPr>
        <w:rPr>
          <w:rFonts w:eastAsia="Arial Unicode MS" w:cs="Arial Unicode MS"/>
          <w:b/>
          <w:bCs/>
          <w:sz w:val="24"/>
          <w:szCs w:val="24"/>
        </w:rPr>
      </w:pPr>
    </w:p>
    <w:p w:rsidR="00972E1A" w:rsidRDefault="00972E1A">
      <w:pPr>
        <w:rPr>
          <w:rFonts w:eastAsia="Arial Unicode MS" w:cs="Arial Unicode MS"/>
          <w:b/>
          <w:bCs/>
          <w:sz w:val="24"/>
          <w:szCs w:val="24"/>
        </w:rPr>
      </w:pPr>
    </w:p>
    <w:p w:rsidR="00036D1A" w:rsidRDefault="00036D1A">
      <w:pPr>
        <w:rPr>
          <w:rFonts w:eastAsia="Arial Unicode MS" w:cs="Arial Unicode MS"/>
          <w:b/>
          <w:bCs/>
          <w:sz w:val="24"/>
          <w:szCs w:val="24"/>
        </w:rPr>
      </w:pPr>
    </w:p>
    <w:p w:rsidR="00972E1A" w:rsidRDefault="00972E1A">
      <w:pPr>
        <w:rPr>
          <w:rFonts w:eastAsia="Arial Unicode MS" w:cs="Arial Unicode MS"/>
          <w:b/>
          <w:bCs/>
          <w:sz w:val="24"/>
          <w:szCs w:val="24"/>
        </w:rPr>
      </w:pPr>
    </w:p>
    <w:p w:rsidR="00972E1A" w:rsidRDefault="00972E1A">
      <w:pPr>
        <w:rPr>
          <w:rFonts w:eastAsia="Arial Unicode MS" w:cs="Arial Unicode MS"/>
          <w:b/>
          <w:bCs/>
          <w:sz w:val="24"/>
          <w:szCs w:val="24"/>
        </w:rPr>
      </w:pPr>
    </w:p>
    <w:p w:rsidR="0083678B" w:rsidRDefault="008B3FF5">
      <w:pPr>
        <w:rPr>
          <w:b/>
          <w:bCs/>
          <w:sz w:val="24"/>
          <w:szCs w:val="24"/>
        </w:rPr>
      </w:pPr>
      <w:r>
        <w:rPr>
          <w:rFonts w:eastAsia="Arial Unicode MS" w:cs="Arial Unicode MS"/>
          <w:b/>
          <w:bCs/>
          <w:sz w:val="24"/>
          <w:szCs w:val="24"/>
        </w:rPr>
        <w:t>1</w:t>
      </w:r>
      <w:r w:rsidR="00FB0ABF">
        <w:rPr>
          <w:rFonts w:eastAsia="Arial Unicode MS" w:cs="Arial Unicode MS"/>
          <w:b/>
          <w:bCs/>
          <w:sz w:val="24"/>
          <w:szCs w:val="24"/>
        </w:rPr>
        <w:t>2</w:t>
      </w:r>
      <w:r w:rsidR="008E5188">
        <w:rPr>
          <w:rFonts w:eastAsia="Arial Unicode MS" w:cs="Arial Unicode MS"/>
          <w:b/>
          <w:bCs/>
          <w:sz w:val="24"/>
          <w:szCs w:val="24"/>
        </w:rPr>
        <w:t>.</w:t>
      </w:r>
      <w:r w:rsidR="008E5188">
        <w:rPr>
          <w:rFonts w:eastAsia="Arial Unicode MS" w:cs="Arial Unicode MS"/>
          <w:b/>
          <w:bCs/>
          <w:sz w:val="24"/>
          <w:szCs w:val="24"/>
        </w:rPr>
        <w:tab/>
        <w:t>ALIGNMENT TO COUNCIL PRIORITIES</w:t>
      </w:r>
    </w:p>
    <w:p w:rsidR="0083678B" w:rsidRDefault="0083678B">
      <w:pPr>
        <w:rPr>
          <w:sz w:val="24"/>
          <w:szCs w:val="24"/>
        </w:rPr>
      </w:pPr>
    </w:p>
    <w:p w:rsidR="0083678B" w:rsidRDefault="008B3FF5">
      <w:pPr>
        <w:ind w:left="720" w:hanging="720"/>
        <w:rPr>
          <w:sz w:val="24"/>
          <w:szCs w:val="24"/>
        </w:rPr>
      </w:pPr>
      <w:r>
        <w:rPr>
          <w:sz w:val="24"/>
          <w:szCs w:val="24"/>
        </w:rPr>
        <w:t>1</w:t>
      </w:r>
      <w:r w:rsidR="00FB0ABF">
        <w:rPr>
          <w:sz w:val="24"/>
          <w:szCs w:val="24"/>
        </w:rPr>
        <w:t>2</w:t>
      </w:r>
      <w:r w:rsidR="008E5188">
        <w:rPr>
          <w:sz w:val="24"/>
          <w:szCs w:val="24"/>
        </w:rPr>
        <w:t>.1</w:t>
      </w:r>
      <w:r w:rsidR="008E5188">
        <w:rPr>
          <w:sz w:val="24"/>
          <w:szCs w:val="24"/>
        </w:rPr>
        <w:tab/>
        <w:t>The sound management of the Council’s cash is directly related to all the Council’s priorities.</w:t>
      </w:r>
    </w:p>
    <w:p w:rsidR="0083678B" w:rsidRDefault="0083678B">
      <w:pPr>
        <w:rPr>
          <w:b/>
          <w:bCs/>
          <w:sz w:val="24"/>
          <w:szCs w:val="24"/>
        </w:rPr>
      </w:pPr>
    </w:p>
    <w:p w:rsidR="0083678B" w:rsidRDefault="008B3FF5">
      <w:pPr>
        <w:rPr>
          <w:b/>
          <w:bCs/>
          <w:sz w:val="24"/>
          <w:szCs w:val="24"/>
        </w:rPr>
      </w:pPr>
      <w:r>
        <w:rPr>
          <w:rFonts w:eastAsia="Arial Unicode MS" w:cs="Arial Unicode MS"/>
          <w:b/>
          <w:bCs/>
          <w:sz w:val="24"/>
          <w:szCs w:val="24"/>
        </w:rPr>
        <w:t>1</w:t>
      </w:r>
      <w:r w:rsidR="00FB0ABF">
        <w:rPr>
          <w:rFonts w:eastAsia="Arial Unicode MS" w:cs="Arial Unicode MS"/>
          <w:b/>
          <w:bCs/>
          <w:sz w:val="24"/>
          <w:szCs w:val="24"/>
        </w:rPr>
        <w:t>3</w:t>
      </w:r>
      <w:r w:rsidR="008E5188">
        <w:rPr>
          <w:rFonts w:eastAsia="Arial Unicode MS" w:cs="Arial Unicode MS"/>
          <w:b/>
          <w:bCs/>
          <w:sz w:val="24"/>
          <w:szCs w:val="24"/>
        </w:rPr>
        <w:t>.</w:t>
      </w:r>
      <w:r w:rsidR="008E5188">
        <w:rPr>
          <w:rFonts w:eastAsia="Arial Unicode MS" w:cs="Arial Unicode MS"/>
          <w:b/>
          <w:bCs/>
          <w:sz w:val="24"/>
          <w:szCs w:val="24"/>
        </w:rPr>
        <w:tab/>
        <w:t xml:space="preserve">IMPLICATIONS </w:t>
      </w:r>
    </w:p>
    <w:p w:rsidR="0083678B" w:rsidRDefault="0083678B">
      <w:pPr>
        <w:rPr>
          <w:sz w:val="24"/>
          <w:szCs w:val="24"/>
        </w:rPr>
      </w:pPr>
    </w:p>
    <w:p w:rsidR="0083678B" w:rsidRDefault="008E5188">
      <w:pPr>
        <w:numPr>
          <w:ilvl w:val="0"/>
          <w:numId w:val="20"/>
        </w:numPr>
        <w:rPr>
          <w:sz w:val="24"/>
          <w:szCs w:val="24"/>
        </w:rPr>
      </w:pPr>
      <w:r>
        <w:rPr>
          <w:sz w:val="24"/>
          <w:szCs w:val="24"/>
        </w:rPr>
        <w:t>Relevant Legislation: The adoption of CIPFA’s Code of Practices (both for Treasury Management and the Prudential Code) are a legislative requirement.</w:t>
      </w:r>
    </w:p>
    <w:p w:rsidR="0083678B" w:rsidRDefault="008E5188">
      <w:pPr>
        <w:numPr>
          <w:ilvl w:val="0"/>
          <w:numId w:val="20"/>
        </w:numPr>
        <w:rPr>
          <w:sz w:val="24"/>
          <w:szCs w:val="24"/>
        </w:rPr>
      </w:pPr>
      <w:r>
        <w:rPr>
          <w:sz w:val="24"/>
          <w:szCs w:val="24"/>
        </w:rPr>
        <w:t>Human Rights: No impact</w:t>
      </w:r>
    </w:p>
    <w:p w:rsidR="0083678B" w:rsidRDefault="008E5188">
      <w:pPr>
        <w:numPr>
          <w:ilvl w:val="0"/>
          <w:numId w:val="20"/>
        </w:numPr>
        <w:rPr>
          <w:sz w:val="24"/>
          <w:szCs w:val="24"/>
        </w:rPr>
      </w:pPr>
      <w:r>
        <w:rPr>
          <w:sz w:val="24"/>
          <w:szCs w:val="24"/>
        </w:rPr>
        <w:t>Equality and Diversity: No impact.</w:t>
      </w:r>
    </w:p>
    <w:p w:rsidR="0083678B" w:rsidRDefault="008E5188">
      <w:pPr>
        <w:numPr>
          <w:ilvl w:val="0"/>
          <w:numId w:val="20"/>
        </w:numPr>
        <w:rPr>
          <w:sz w:val="24"/>
          <w:szCs w:val="24"/>
        </w:rPr>
      </w:pPr>
      <w:r>
        <w:rPr>
          <w:sz w:val="24"/>
          <w:szCs w:val="24"/>
        </w:rPr>
        <w:t>Climate change and environmental sustainability: No impact.</w:t>
      </w:r>
    </w:p>
    <w:p w:rsidR="0083678B" w:rsidRDefault="008E5188">
      <w:pPr>
        <w:numPr>
          <w:ilvl w:val="0"/>
          <w:numId w:val="20"/>
        </w:numPr>
        <w:rPr>
          <w:sz w:val="24"/>
          <w:szCs w:val="24"/>
        </w:rPr>
      </w:pPr>
      <w:r>
        <w:rPr>
          <w:sz w:val="24"/>
          <w:szCs w:val="24"/>
        </w:rPr>
        <w:t>Crime and Disorder: No impact.</w:t>
      </w:r>
    </w:p>
    <w:p w:rsidR="0083678B" w:rsidRDefault="008E5188">
      <w:pPr>
        <w:numPr>
          <w:ilvl w:val="0"/>
          <w:numId w:val="20"/>
        </w:numPr>
        <w:rPr>
          <w:sz w:val="24"/>
          <w:szCs w:val="24"/>
        </w:rPr>
      </w:pPr>
      <w:r>
        <w:rPr>
          <w:sz w:val="24"/>
          <w:szCs w:val="24"/>
        </w:rPr>
        <w:t xml:space="preserve">Budget / Resource: This report does not have any direct budgetary implications. </w:t>
      </w:r>
      <w:r w:rsidR="00053999">
        <w:rPr>
          <w:sz w:val="24"/>
          <w:szCs w:val="24"/>
        </w:rPr>
        <w:t xml:space="preserve"> </w:t>
      </w:r>
      <w:r>
        <w:rPr>
          <w:sz w:val="24"/>
          <w:szCs w:val="24"/>
        </w:rPr>
        <w:t>Treasury Management activities however generate income from investments and incur cost of borrowing.</w:t>
      </w:r>
      <w:r w:rsidR="00053999">
        <w:rPr>
          <w:sz w:val="24"/>
          <w:szCs w:val="24"/>
        </w:rPr>
        <w:t xml:space="preserve">  </w:t>
      </w:r>
      <w:r w:rsidR="00AD1D97">
        <w:rPr>
          <w:sz w:val="24"/>
          <w:szCs w:val="24"/>
        </w:rPr>
        <w:t xml:space="preserve"> </w:t>
      </w:r>
      <w:r>
        <w:rPr>
          <w:sz w:val="24"/>
          <w:szCs w:val="24"/>
        </w:rPr>
        <w:t>Budgets are set based on known or anticipated market conditions and on the anticipated level of investments and borrowing during the year.</w:t>
      </w:r>
    </w:p>
    <w:p w:rsidR="0083678B" w:rsidRDefault="0083678B">
      <w:pPr>
        <w:rPr>
          <w:sz w:val="24"/>
          <w:szCs w:val="24"/>
        </w:rPr>
      </w:pPr>
    </w:p>
    <w:p w:rsidR="0083678B" w:rsidRPr="00B442C1" w:rsidRDefault="008B3FF5" w:rsidP="008B3FF5">
      <w:pPr>
        <w:rPr>
          <w:b/>
          <w:bCs/>
          <w:sz w:val="24"/>
          <w:szCs w:val="24"/>
        </w:rPr>
      </w:pPr>
      <w:r>
        <w:rPr>
          <w:b/>
          <w:bCs/>
          <w:sz w:val="24"/>
          <w:szCs w:val="24"/>
        </w:rPr>
        <w:t>1</w:t>
      </w:r>
      <w:r w:rsidR="00FB0ABF">
        <w:rPr>
          <w:b/>
          <w:bCs/>
          <w:sz w:val="24"/>
          <w:szCs w:val="24"/>
        </w:rPr>
        <w:t>4</w:t>
      </w:r>
      <w:r>
        <w:rPr>
          <w:b/>
          <w:bCs/>
          <w:sz w:val="24"/>
          <w:szCs w:val="24"/>
        </w:rPr>
        <w:t>.</w:t>
      </w:r>
      <w:r>
        <w:rPr>
          <w:b/>
          <w:bCs/>
          <w:sz w:val="24"/>
          <w:szCs w:val="24"/>
        </w:rPr>
        <w:tab/>
      </w:r>
      <w:r w:rsidR="008E5188" w:rsidRPr="00B442C1">
        <w:rPr>
          <w:b/>
          <w:bCs/>
          <w:sz w:val="24"/>
          <w:szCs w:val="24"/>
        </w:rPr>
        <w:t>COMMENTS OF STATUTORY OFFICERS</w:t>
      </w:r>
    </w:p>
    <w:p w:rsidR="0083678B" w:rsidRDefault="0083678B">
      <w:pPr>
        <w:ind w:firstLine="720"/>
        <w:rPr>
          <w:b/>
          <w:bCs/>
          <w:sz w:val="24"/>
          <w:szCs w:val="24"/>
        </w:rPr>
      </w:pPr>
    </w:p>
    <w:p w:rsidR="004665BE" w:rsidRPr="00A21C94" w:rsidRDefault="0066622E" w:rsidP="006B757F">
      <w:pPr>
        <w:ind w:left="720"/>
        <w:rPr>
          <w:bCs/>
          <w:sz w:val="24"/>
          <w:szCs w:val="24"/>
        </w:rPr>
      </w:pPr>
      <w:r>
        <w:rPr>
          <w:b/>
          <w:bCs/>
          <w:sz w:val="24"/>
          <w:szCs w:val="24"/>
        </w:rPr>
        <w:t xml:space="preserve">Deputy </w:t>
      </w:r>
      <w:r w:rsidR="004665BE" w:rsidRPr="0066622E">
        <w:rPr>
          <w:b/>
          <w:bCs/>
          <w:sz w:val="24"/>
          <w:szCs w:val="24"/>
        </w:rPr>
        <w:t xml:space="preserve">Section 151 Officer – </w:t>
      </w:r>
      <w:r w:rsidR="004665BE" w:rsidRPr="0066622E">
        <w:rPr>
          <w:bCs/>
          <w:sz w:val="24"/>
          <w:szCs w:val="24"/>
        </w:rPr>
        <w:t xml:space="preserve">Investments placed within financial institutions have been done in line with the Treasury Management Strategy, which sets out the Treasury Management Practices adopted by this Council. The position of those financial institutions are monitored in conjunction with </w:t>
      </w:r>
      <w:r w:rsidR="009B0416" w:rsidRPr="0066622E">
        <w:rPr>
          <w:bCs/>
          <w:sz w:val="24"/>
          <w:szCs w:val="24"/>
        </w:rPr>
        <w:t>Link</w:t>
      </w:r>
      <w:r w:rsidR="004665BE" w:rsidRPr="0066622E">
        <w:rPr>
          <w:bCs/>
          <w:sz w:val="24"/>
          <w:szCs w:val="24"/>
        </w:rPr>
        <w:t xml:space="preserve"> Asset Services, the Council’s Treasury Management Advisors.</w:t>
      </w:r>
    </w:p>
    <w:p w:rsidR="0083678B" w:rsidRPr="00764AF0" w:rsidRDefault="0083678B">
      <w:pPr>
        <w:rPr>
          <w:sz w:val="24"/>
          <w:szCs w:val="24"/>
          <w:highlight w:val="yellow"/>
        </w:rPr>
      </w:pPr>
    </w:p>
    <w:p w:rsidR="006B757F" w:rsidRPr="00EF0B41" w:rsidRDefault="002A7F1B" w:rsidP="00EF0B41">
      <w:pPr>
        <w:ind w:left="720"/>
        <w:rPr>
          <w:bCs/>
          <w:sz w:val="24"/>
          <w:szCs w:val="24"/>
        </w:rPr>
      </w:pPr>
      <w:r>
        <w:rPr>
          <w:b/>
          <w:bCs/>
          <w:sz w:val="24"/>
          <w:szCs w:val="24"/>
        </w:rPr>
        <w:t xml:space="preserve">Deputy </w:t>
      </w:r>
      <w:r w:rsidR="00EF0B41" w:rsidRPr="002A7F1B">
        <w:rPr>
          <w:b/>
          <w:bCs/>
          <w:sz w:val="24"/>
          <w:szCs w:val="24"/>
        </w:rPr>
        <w:t xml:space="preserve">Monitoring Officer – </w:t>
      </w:r>
      <w:r w:rsidR="00EF0B41" w:rsidRPr="002A7F1B">
        <w:rPr>
          <w:bCs/>
          <w:sz w:val="24"/>
          <w:szCs w:val="24"/>
        </w:rPr>
        <w:t>T</w:t>
      </w:r>
      <w:r w:rsidR="00542CBF" w:rsidRPr="002A7F1B">
        <w:rPr>
          <w:bCs/>
          <w:sz w:val="24"/>
          <w:szCs w:val="24"/>
        </w:rPr>
        <w:t xml:space="preserve">reasury management </w:t>
      </w:r>
      <w:r w:rsidR="00EF0B41" w:rsidRPr="002A7F1B">
        <w:rPr>
          <w:bCs/>
          <w:sz w:val="24"/>
          <w:szCs w:val="24"/>
        </w:rPr>
        <w:t xml:space="preserve">is a </w:t>
      </w:r>
      <w:r w:rsidR="00542CBF" w:rsidRPr="002A7F1B">
        <w:rPr>
          <w:bCs/>
          <w:sz w:val="24"/>
          <w:szCs w:val="24"/>
        </w:rPr>
        <w:t>critical</w:t>
      </w:r>
      <w:r w:rsidR="00EF0B41" w:rsidRPr="002A7F1B">
        <w:rPr>
          <w:bCs/>
          <w:sz w:val="24"/>
          <w:szCs w:val="24"/>
        </w:rPr>
        <w:t xml:space="preserve"> responsibility of the Council and the measures outlined in this report provide assurance that effective control and management of </w:t>
      </w:r>
      <w:r w:rsidR="00542CBF" w:rsidRPr="002A7F1B">
        <w:rPr>
          <w:bCs/>
          <w:sz w:val="24"/>
          <w:szCs w:val="24"/>
        </w:rPr>
        <w:t xml:space="preserve">the risks associated with those </w:t>
      </w:r>
      <w:r w:rsidR="00EF0B41" w:rsidRPr="002A7F1B">
        <w:rPr>
          <w:bCs/>
          <w:sz w:val="24"/>
          <w:szCs w:val="24"/>
        </w:rPr>
        <w:t>decisions are in place.</w:t>
      </w:r>
    </w:p>
    <w:p w:rsidR="00EF0B41" w:rsidRDefault="00EF0B41" w:rsidP="00B442C1">
      <w:pPr>
        <w:rPr>
          <w:b/>
          <w:bCs/>
          <w:sz w:val="24"/>
          <w:szCs w:val="24"/>
        </w:rPr>
      </w:pPr>
    </w:p>
    <w:p w:rsidR="0083678B" w:rsidRPr="00513AAA" w:rsidRDefault="00513AAA" w:rsidP="00B442C1">
      <w:pPr>
        <w:rPr>
          <w:b/>
          <w:bCs/>
          <w:sz w:val="24"/>
          <w:szCs w:val="24"/>
        </w:rPr>
      </w:pPr>
      <w:r>
        <w:rPr>
          <w:b/>
          <w:bCs/>
          <w:sz w:val="24"/>
          <w:szCs w:val="24"/>
        </w:rPr>
        <w:t>1</w:t>
      </w:r>
      <w:r w:rsidR="00FB0ABF">
        <w:rPr>
          <w:b/>
          <w:bCs/>
          <w:sz w:val="24"/>
          <w:szCs w:val="24"/>
        </w:rPr>
        <w:t>5</w:t>
      </w:r>
      <w:r>
        <w:rPr>
          <w:b/>
          <w:bCs/>
          <w:sz w:val="24"/>
          <w:szCs w:val="24"/>
        </w:rPr>
        <w:t>.</w:t>
      </w:r>
      <w:r>
        <w:rPr>
          <w:b/>
          <w:bCs/>
          <w:sz w:val="24"/>
          <w:szCs w:val="24"/>
        </w:rPr>
        <w:tab/>
      </w:r>
      <w:r w:rsidR="008E5188" w:rsidRPr="00513AAA">
        <w:rPr>
          <w:b/>
          <w:bCs/>
          <w:sz w:val="24"/>
          <w:szCs w:val="24"/>
        </w:rPr>
        <w:t>CONSULTATION</w:t>
      </w:r>
    </w:p>
    <w:p w:rsidR="0083678B" w:rsidRDefault="0083678B" w:rsidP="00B442C1">
      <w:pPr>
        <w:rPr>
          <w:b/>
          <w:bCs/>
          <w:sz w:val="24"/>
          <w:szCs w:val="24"/>
        </w:rPr>
      </w:pPr>
    </w:p>
    <w:p w:rsidR="00972E1A" w:rsidRDefault="008E5188">
      <w:pPr>
        <w:ind w:left="720"/>
        <w:rPr>
          <w:sz w:val="24"/>
          <w:szCs w:val="24"/>
        </w:rPr>
      </w:pPr>
      <w:r>
        <w:rPr>
          <w:sz w:val="24"/>
          <w:szCs w:val="24"/>
        </w:rPr>
        <w:t>No consultation is required for this report.</w:t>
      </w:r>
      <w:r w:rsidR="00053999">
        <w:rPr>
          <w:sz w:val="24"/>
          <w:szCs w:val="24"/>
        </w:rPr>
        <w:t xml:space="preserve"> </w:t>
      </w:r>
    </w:p>
    <w:p w:rsidR="0083678B" w:rsidRDefault="0083678B">
      <w:pPr>
        <w:ind w:left="720"/>
        <w:rPr>
          <w:sz w:val="24"/>
          <w:szCs w:val="24"/>
        </w:rPr>
      </w:pPr>
    </w:p>
    <w:p w:rsidR="0083678B" w:rsidRDefault="008E5188">
      <w:pPr>
        <w:rPr>
          <w:rFonts w:eastAsia="Arial Unicode MS" w:cs="Arial Unicode MS"/>
          <w:b/>
          <w:bCs/>
          <w:sz w:val="24"/>
          <w:szCs w:val="24"/>
        </w:rPr>
      </w:pPr>
      <w:r>
        <w:rPr>
          <w:rFonts w:eastAsia="Arial Unicode MS" w:cs="Arial Unicode MS"/>
          <w:b/>
          <w:bCs/>
          <w:sz w:val="24"/>
          <w:szCs w:val="24"/>
        </w:rPr>
        <w:t>1</w:t>
      </w:r>
      <w:r w:rsidR="00FB0ABF">
        <w:rPr>
          <w:rFonts w:eastAsia="Arial Unicode MS" w:cs="Arial Unicode MS"/>
          <w:b/>
          <w:bCs/>
          <w:sz w:val="24"/>
          <w:szCs w:val="24"/>
        </w:rPr>
        <w:t>6</w:t>
      </w:r>
      <w:r>
        <w:rPr>
          <w:rFonts w:eastAsia="Arial Unicode MS" w:cs="Arial Unicode MS"/>
          <w:b/>
          <w:bCs/>
          <w:sz w:val="24"/>
          <w:szCs w:val="24"/>
        </w:rPr>
        <w:t>.</w:t>
      </w:r>
      <w:r>
        <w:rPr>
          <w:rFonts w:eastAsia="Arial Unicode MS" w:cs="Arial Unicode MS"/>
          <w:b/>
          <w:bCs/>
          <w:sz w:val="24"/>
          <w:szCs w:val="24"/>
        </w:rPr>
        <w:tab/>
        <w:t>BACKGROUND PAPERS</w:t>
      </w:r>
    </w:p>
    <w:p w:rsidR="00DC6982" w:rsidRDefault="00DC6982">
      <w:pPr>
        <w:rPr>
          <w:sz w:val="24"/>
          <w:szCs w:val="24"/>
        </w:rPr>
      </w:pPr>
    </w:p>
    <w:p w:rsidR="0083678B" w:rsidRDefault="008E5188">
      <w:pPr>
        <w:ind w:left="720"/>
        <w:rPr>
          <w:sz w:val="24"/>
          <w:szCs w:val="24"/>
        </w:rPr>
      </w:pPr>
      <w:r>
        <w:rPr>
          <w:sz w:val="24"/>
          <w:szCs w:val="24"/>
        </w:rPr>
        <w:t>None</w:t>
      </w:r>
    </w:p>
    <w:p w:rsidR="0083678B" w:rsidRDefault="0083678B">
      <w:pPr>
        <w:ind w:left="720"/>
        <w:rPr>
          <w:sz w:val="24"/>
          <w:szCs w:val="24"/>
        </w:rPr>
      </w:pPr>
    </w:p>
    <w:p w:rsidR="0083678B" w:rsidRDefault="008E5188">
      <w:pPr>
        <w:ind w:firstLine="720"/>
        <w:rPr>
          <w:sz w:val="24"/>
          <w:szCs w:val="24"/>
        </w:rPr>
      </w:pPr>
      <w:r>
        <w:rPr>
          <w:sz w:val="24"/>
          <w:szCs w:val="24"/>
        </w:rPr>
        <w:t xml:space="preserve">Report Author </w:t>
      </w:r>
      <w:r>
        <w:rPr>
          <w:sz w:val="24"/>
          <w:szCs w:val="24"/>
        </w:rPr>
        <w:tab/>
        <w:t xml:space="preserve">- </w:t>
      </w:r>
      <w:r w:rsidR="00B33367">
        <w:rPr>
          <w:sz w:val="24"/>
          <w:szCs w:val="24"/>
        </w:rPr>
        <w:t>Dave Wayne</w:t>
      </w:r>
    </w:p>
    <w:p w:rsidR="0083678B" w:rsidRDefault="008E5188">
      <w:pPr>
        <w:ind w:firstLine="720"/>
        <w:rPr>
          <w:sz w:val="24"/>
          <w:szCs w:val="24"/>
        </w:rPr>
      </w:pPr>
      <w:r>
        <w:rPr>
          <w:sz w:val="24"/>
          <w:szCs w:val="24"/>
        </w:rPr>
        <w:t xml:space="preserve">Designation </w:t>
      </w:r>
      <w:r>
        <w:rPr>
          <w:sz w:val="24"/>
          <w:szCs w:val="24"/>
        </w:rPr>
        <w:tab/>
      </w:r>
      <w:r>
        <w:rPr>
          <w:sz w:val="24"/>
          <w:szCs w:val="24"/>
        </w:rPr>
        <w:tab/>
        <w:t xml:space="preserve">- </w:t>
      </w:r>
      <w:r w:rsidR="00B33367">
        <w:rPr>
          <w:sz w:val="24"/>
          <w:szCs w:val="24"/>
        </w:rPr>
        <w:t>Finance Advisor</w:t>
      </w:r>
    </w:p>
    <w:p w:rsidR="0083678B" w:rsidRDefault="008E5188">
      <w:pPr>
        <w:ind w:firstLine="720"/>
        <w:rPr>
          <w:sz w:val="24"/>
          <w:szCs w:val="24"/>
        </w:rPr>
      </w:pPr>
      <w:r>
        <w:rPr>
          <w:sz w:val="24"/>
          <w:szCs w:val="24"/>
        </w:rPr>
        <w:t>Telephone</w:t>
      </w:r>
      <w:r>
        <w:rPr>
          <w:sz w:val="24"/>
          <w:szCs w:val="24"/>
        </w:rPr>
        <w:tab/>
      </w:r>
      <w:r>
        <w:rPr>
          <w:sz w:val="24"/>
          <w:szCs w:val="24"/>
        </w:rPr>
        <w:tab/>
        <w:t>- 01623 463</w:t>
      </w:r>
      <w:r w:rsidR="00B33367">
        <w:rPr>
          <w:sz w:val="24"/>
          <w:szCs w:val="24"/>
        </w:rPr>
        <w:t>074</w:t>
      </w:r>
    </w:p>
    <w:p w:rsidR="00C52EC8" w:rsidRDefault="008E5188" w:rsidP="003518C1">
      <w:pPr>
        <w:ind w:firstLine="720"/>
        <w:rPr>
          <w:sz w:val="24"/>
          <w:szCs w:val="24"/>
        </w:rPr>
      </w:pPr>
      <w:r>
        <w:rPr>
          <w:sz w:val="24"/>
          <w:szCs w:val="24"/>
        </w:rPr>
        <w:t>E-mail</w:t>
      </w:r>
      <w:r>
        <w:rPr>
          <w:sz w:val="24"/>
          <w:szCs w:val="24"/>
        </w:rPr>
        <w:tab/>
      </w:r>
      <w:r>
        <w:rPr>
          <w:sz w:val="24"/>
          <w:szCs w:val="24"/>
        </w:rPr>
        <w:tab/>
      </w:r>
      <w:r>
        <w:rPr>
          <w:sz w:val="24"/>
          <w:szCs w:val="24"/>
        </w:rPr>
        <w:tab/>
        <w:t xml:space="preserve">- </w:t>
      </w:r>
      <w:hyperlink r:id="rId12" w:history="1">
        <w:r w:rsidR="00B33367" w:rsidRPr="00924D85">
          <w:rPr>
            <w:rStyle w:val="Hyperlink"/>
            <w:sz w:val="24"/>
            <w:szCs w:val="24"/>
          </w:rPr>
          <w:t>dwayne@mansfield.gov.uk</w:t>
        </w:r>
      </w:hyperlink>
    </w:p>
    <w:p w:rsidR="006B757F" w:rsidRDefault="006B757F" w:rsidP="003518C1">
      <w:pPr>
        <w:ind w:firstLine="720"/>
        <w:rPr>
          <w:sz w:val="24"/>
          <w:szCs w:val="24"/>
        </w:rPr>
      </w:pPr>
    </w:p>
    <w:p w:rsidR="00B33367" w:rsidRDefault="00B33367" w:rsidP="003518C1">
      <w:pPr>
        <w:ind w:firstLine="720"/>
        <w:rPr>
          <w:sz w:val="24"/>
          <w:szCs w:val="24"/>
        </w:rPr>
      </w:pPr>
    </w:p>
    <w:p w:rsidR="008B6DE2" w:rsidRDefault="008B6DE2" w:rsidP="003518C1">
      <w:pPr>
        <w:ind w:firstLine="720"/>
        <w:rPr>
          <w:sz w:val="24"/>
          <w:szCs w:val="24"/>
        </w:rPr>
      </w:pPr>
    </w:p>
    <w:p w:rsidR="00916A23" w:rsidRDefault="00916A23" w:rsidP="003518C1">
      <w:pPr>
        <w:ind w:firstLine="720"/>
        <w:rPr>
          <w:sz w:val="24"/>
          <w:szCs w:val="24"/>
        </w:rPr>
      </w:pPr>
    </w:p>
    <w:p w:rsidR="008B6DE2" w:rsidRDefault="008B6DE2" w:rsidP="003518C1">
      <w:pPr>
        <w:ind w:firstLine="720"/>
        <w:rPr>
          <w:sz w:val="24"/>
          <w:szCs w:val="24"/>
        </w:rPr>
      </w:pPr>
    </w:p>
    <w:p w:rsidR="006B757F" w:rsidRDefault="006B757F" w:rsidP="003518C1">
      <w:pPr>
        <w:ind w:firstLine="720"/>
        <w:rPr>
          <w:sz w:val="24"/>
          <w:szCs w:val="24"/>
        </w:rPr>
      </w:pPr>
    </w:p>
    <w:p w:rsidR="00D54AD9" w:rsidRDefault="00D54AD9" w:rsidP="00D54AD9">
      <w:pPr>
        <w:rPr>
          <w:b/>
          <w:sz w:val="24"/>
          <w:szCs w:val="24"/>
        </w:rPr>
      </w:pPr>
      <w:r w:rsidRPr="008013C8">
        <w:rPr>
          <w:b/>
          <w:sz w:val="24"/>
          <w:szCs w:val="24"/>
        </w:rPr>
        <w:t>Appendix 1</w:t>
      </w:r>
    </w:p>
    <w:p w:rsidR="00846528" w:rsidRDefault="00846528" w:rsidP="00D54AD9">
      <w:pPr>
        <w:rPr>
          <w:b/>
          <w:sz w:val="24"/>
          <w:szCs w:val="24"/>
        </w:rPr>
      </w:pPr>
    </w:p>
    <w:p w:rsidR="00415B32" w:rsidRDefault="00846528" w:rsidP="00D54AD9">
      <w:pPr>
        <w:rPr>
          <w:b/>
          <w:sz w:val="24"/>
          <w:szCs w:val="24"/>
        </w:rPr>
      </w:pPr>
      <w:r w:rsidRPr="00846528">
        <w:rPr>
          <w:noProof/>
          <w:lang w:val="en-GB"/>
        </w:rPr>
        <w:drawing>
          <wp:inline distT="0" distB="0" distL="0" distR="0">
            <wp:extent cx="5753100" cy="836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8362950"/>
                    </a:xfrm>
                    <a:prstGeom prst="rect">
                      <a:avLst/>
                    </a:prstGeom>
                    <a:noFill/>
                    <a:ln>
                      <a:noFill/>
                    </a:ln>
                  </pic:spPr>
                </pic:pic>
              </a:graphicData>
            </a:graphic>
          </wp:inline>
        </w:drawing>
      </w:r>
    </w:p>
    <w:p w:rsidR="00D54AD9" w:rsidRDefault="00D54AD9" w:rsidP="00D54AD9">
      <w:pPr>
        <w:rPr>
          <w:b/>
          <w:sz w:val="24"/>
          <w:szCs w:val="24"/>
        </w:rPr>
      </w:pPr>
    </w:p>
    <w:p w:rsidR="006B757F" w:rsidRDefault="00B25ABB" w:rsidP="003518C1">
      <w:pPr>
        <w:ind w:firstLine="720"/>
        <w:rPr>
          <w:sz w:val="24"/>
          <w:szCs w:val="24"/>
        </w:rPr>
      </w:pPr>
      <w:r w:rsidRPr="00B25ABB">
        <w:rPr>
          <w:noProof/>
          <w:lang w:val="en-GB"/>
        </w:rPr>
        <w:drawing>
          <wp:inline distT="0" distB="0" distL="0" distR="0">
            <wp:extent cx="5753100" cy="7715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7715250"/>
                    </a:xfrm>
                    <a:prstGeom prst="rect">
                      <a:avLst/>
                    </a:prstGeom>
                    <a:noFill/>
                    <a:ln>
                      <a:noFill/>
                    </a:ln>
                  </pic:spPr>
                </pic:pic>
              </a:graphicData>
            </a:graphic>
          </wp:inline>
        </w:drawing>
      </w:r>
    </w:p>
    <w:p w:rsidR="006B757F" w:rsidRDefault="006B757F" w:rsidP="003518C1">
      <w:pPr>
        <w:ind w:firstLine="720"/>
        <w:rPr>
          <w:sz w:val="24"/>
          <w:szCs w:val="24"/>
        </w:rPr>
      </w:pPr>
    </w:p>
    <w:p w:rsidR="006B757F" w:rsidRDefault="00B25ABB" w:rsidP="003518C1">
      <w:pPr>
        <w:ind w:firstLine="720"/>
        <w:rPr>
          <w:sz w:val="24"/>
          <w:szCs w:val="24"/>
        </w:rPr>
      </w:pPr>
      <w:r w:rsidRPr="00B25ABB">
        <w:rPr>
          <w:noProof/>
          <w:lang w:val="en-GB"/>
        </w:rPr>
        <w:drawing>
          <wp:inline distT="0" distB="0" distL="0" distR="0">
            <wp:extent cx="5753100" cy="7077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7077075"/>
                    </a:xfrm>
                    <a:prstGeom prst="rect">
                      <a:avLst/>
                    </a:prstGeom>
                    <a:noFill/>
                    <a:ln>
                      <a:noFill/>
                    </a:ln>
                  </pic:spPr>
                </pic:pic>
              </a:graphicData>
            </a:graphic>
          </wp:inline>
        </w:drawing>
      </w:r>
    </w:p>
    <w:p w:rsidR="006B757F" w:rsidRDefault="006B757F" w:rsidP="003518C1">
      <w:pPr>
        <w:ind w:firstLine="720"/>
        <w:rPr>
          <w:sz w:val="24"/>
          <w:szCs w:val="24"/>
        </w:rPr>
      </w:pPr>
    </w:p>
    <w:p w:rsidR="006B757F" w:rsidRDefault="006B757F" w:rsidP="003518C1">
      <w:pPr>
        <w:ind w:firstLine="720"/>
        <w:rPr>
          <w:sz w:val="24"/>
          <w:szCs w:val="24"/>
        </w:rPr>
      </w:pPr>
    </w:p>
    <w:p w:rsidR="00380C70" w:rsidRDefault="00380C70">
      <w:pPr>
        <w:tabs>
          <w:tab w:val="left" w:pos="8520"/>
        </w:tabs>
        <w:sectPr w:rsidR="00380C70" w:rsidSect="00BC0924">
          <w:pgSz w:w="11900" w:h="16840"/>
          <w:pgMar w:top="1276" w:right="1410" w:bottom="1797" w:left="1276" w:header="709" w:footer="288" w:gutter="0"/>
          <w:cols w:space="720"/>
        </w:sectPr>
      </w:pPr>
    </w:p>
    <w:p w:rsidR="00323A10" w:rsidRPr="00323A10" w:rsidRDefault="00323A10">
      <w:pPr>
        <w:tabs>
          <w:tab w:val="left" w:pos="8520"/>
        </w:tabs>
        <w:rPr>
          <w:b/>
          <w:sz w:val="24"/>
          <w:szCs w:val="24"/>
        </w:rPr>
      </w:pPr>
      <w:r w:rsidRPr="008013C8">
        <w:rPr>
          <w:b/>
          <w:sz w:val="24"/>
          <w:szCs w:val="24"/>
        </w:rPr>
        <w:t xml:space="preserve">Appendix </w:t>
      </w:r>
      <w:r w:rsidR="00D54AD9" w:rsidRPr="008013C8">
        <w:rPr>
          <w:b/>
          <w:sz w:val="24"/>
          <w:szCs w:val="24"/>
        </w:rPr>
        <w:t>2</w:t>
      </w:r>
    </w:p>
    <w:p w:rsidR="006044F1" w:rsidRPr="00202093" w:rsidRDefault="002B197A">
      <w:pPr>
        <w:tabs>
          <w:tab w:val="left" w:pos="8520"/>
        </w:tabs>
        <w:rPr>
          <w:b/>
          <w:sz w:val="24"/>
          <w:szCs w:val="24"/>
        </w:rPr>
      </w:pPr>
      <w:r w:rsidRPr="002B197A">
        <w:rPr>
          <w:noProof/>
          <w:lang w:val="en-GB"/>
        </w:rPr>
        <w:drawing>
          <wp:inline distT="0" distB="0" distL="0" distR="0">
            <wp:extent cx="8410575" cy="5505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19084" cy="5511020"/>
                    </a:xfrm>
                    <a:prstGeom prst="rect">
                      <a:avLst/>
                    </a:prstGeom>
                    <a:noFill/>
                    <a:ln>
                      <a:noFill/>
                    </a:ln>
                  </pic:spPr>
                </pic:pic>
              </a:graphicData>
            </a:graphic>
          </wp:inline>
        </w:drawing>
      </w:r>
    </w:p>
    <w:sectPr w:rsidR="006044F1" w:rsidRPr="00202093" w:rsidSect="008B28A7">
      <w:pgSz w:w="16840" w:h="11900" w:orient="landscape"/>
      <w:pgMar w:top="1440" w:right="1797" w:bottom="1440" w:left="1797" w:header="709"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A66" w:rsidRDefault="00B26A66">
      <w:r>
        <w:separator/>
      </w:r>
    </w:p>
  </w:endnote>
  <w:endnote w:type="continuationSeparator" w:id="0">
    <w:p w:rsidR="00B26A66" w:rsidRDefault="00B2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A66" w:rsidRDefault="00B26A66">
      <w:r>
        <w:separator/>
      </w:r>
    </w:p>
  </w:footnote>
  <w:footnote w:type="continuationSeparator" w:id="0">
    <w:p w:rsidR="00B26A66" w:rsidRDefault="00B26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0A2"/>
    <w:multiLevelType w:val="multilevel"/>
    <w:tmpl w:val="8936686E"/>
    <w:numStyleLink w:val="ImportedStyle4"/>
  </w:abstractNum>
  <w:abstractNum w:abstractNumId="1" w15:restartNumberingAfterBreak="0">
    <w:nsid w:val="02B054D5"/>
    <w:multiLevelType w:val="multilevel"/>
    <w:tmpl w:val="DD7696AC"/>
    <w:numStyleLink w:val="ImportedStyle2"/>
  </w:abstractNum>
  <w:abstractNum w:abstractNumId="2" w15:restartNumberingAfterBreak="0">
    <w:nsid w:val="0316042F"/>
    <w:multiLevelType w:val="hybridMultilevel"/>
    <w:tmpl w:val="6DD86B24"/>
    <w:styleLink w:val="ImportedStyle8"/>
    <w:lvl w:ilvl="0" w:tplc="AC70AED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90430A">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E4816E">
      <w:start w:val="1"/>
      <w:numFmt w:val="lowerRoman"/>
      <w:lvlText w:val="%3."/>
      <w:lvlJc w:val="left"/>
      <w:pPr>
        <w:tabs>
          <w:tab w:val="left" w:pos="720"/>
        </w:tabs>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E2A1B0">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4EB98E">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A6C5BC">
      <w:start w:val="1"/>
      <w:numFmt w:val="lowerRoman"/>
      <w:lvlText w:val="%6."/>
      <w:lvlJc w:val="left"/>
      <w:pPr>
        <w:tabs>
          <w:tab w:val="left" w:pos="720"/>
        </w:tabs>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E02D70">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48595A">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A24C70">
      <w:start w:val="1"/>
      <w:numFmt w:val="lowerRoman"/>
      <w:lvlText w:val="%9."/>
      <w:lvlJc w:val="left"/>
      <w:pPr>
        <w:tabs>
          <w:tab w:val="left" w:pos="720"/>
        </w:tabs>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A87596"/>
    <w:multiLevelType w:val="hybridMultilevel"/>
    <w:tmpl w:val="7F52120E"/>
    <w:styleLink w:val="ImportedStyle9"/>
    <w:lvl w:ilvl="0" w:tplc="1F149376">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642C2A">
      <w:start w:val="1"/>
      <w:numFmt w:val="lowerLetter"/>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BEEF68">
      <w:start w:val="1"/>
      <w:numFmt w:val="lowerRoman"/>
      <w:lvlText w:val="%3."/>
      <w:lvlJc w:val="left"/>
      <w:pPr>
        <w:tabs>
          <w:tab w:val="left" w:pos="720"/>
        </w:tabs>
        <w:ind w:left="1800" w:hanging="6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EC0060">
      <w:start w:val="1"/>
      <w:numFmt w:val="decimal"/>
      <w:lvlText w:val="%4."/>
      <w:lvlJc w:val="left"/>
      <w:pPr>
        <w:tabs>
          <w:tab w:val="left" w:pos="720"/>
        </w:tabs>
        <w:ind w:left="25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4E6E56">
      <w:start w:val="1"/>
      <w:numFmt w:val="lowerLetter"/>
      <w:lvlText w:val="%5."/>
      <w:lvlJc w:val="left"/>
      <w:pPr>
        <w:tabs>
          <w:tab w:val="left" w:pos="720"/>
        </w:tabs>
        <w:ind w:left="32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341508">
      <w:start w:val="1"/>
      <w:numFmt w:val="lowerRoman"/>
      <w:lvlText w:val="%6."/>
      <w:lvlJc w:val="left"/>
      <w:pPr>
        <w:tabs>
          <w:tab w:val="left" w:pos="720"/>
        </w:tabs>
        <w:ind w:left="3960" w:hanging="6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62F236">
      <w:start w:val="1"/>
      <w:numFmt w:val="decimal"/>
      <w:lvlText w:val="%7."/>
      <w:lvlJc w:val="left"/>
      <w:pPr>
        <w:tabs>
          <w:tab w:val="left" w:pos="720"/>
        </w:tabs>
        <w:ind w:left="46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264528">
      <w:start w:val="1"/>
      <w:numFmt w:val="lowerLetter"/>
      <w:lvlText w:val="%8."/>
      <w:lvlJc w:val="left"/>
      <w:pPr>
        <w:tabs>
          <w:tab w:val="left" w:pos="720"/>
        </w:tabs>
        <w:ind w:left="540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49E02">
      <w:start w:val="1"/>
      <w:numFmt w:val="lowerRoman"/>
      <w:lvlText w:val="%9."/>
      <w:lvlJc w:val="left"/>
      <w:pPr>
        <w:tabs>
          <w:tab w:val="left" w:pos="720"/>
        </w:tabs>
        <w:ind w:left="6120" w:hanging="6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2254DCE"/>
    <w:multiLevelType w:val="multilevel"/>
    <w:tmpl w:val="84AC3466"/>
    <w:numStyleLink w:val="ImportedStyle7"/>
  </w:abstractNum>
  <w:abstractNum w:abstractNumId="5" w15:restartNumberingAfterBreak="0">
    <w:nsid w:val="151A4767"/>
    <w:multiLevelType w:val="hybridMultilevel"/>
    <w:tmpl w:val="6DD86B24"/>
    <w:numStyleLink w:val="ImportedStyle8"/>
  </w:abstractNum>
  <w:abstractNum w:abstractNumId="6" w15:restartNumberingAfterBreak="0">
    <w:nsid w:val="156572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251641"/>
    <w:multiLevelType w:val="hybridMultilevel"/>
    <w:tmpl w:val="DD7696AC"/>
    <w:styleLink w:val="ImportedStyle2"/>
    <w:lvl w:ilvl="0" w:tplc="EF983EEC">
      <w:start w:val="1"/>
      <w:numFmt w:val="lowerRoman"/>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28BD7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CA9B62">
      <w:start w:val="1"/>
      <w:numFmt w:val="lowerRoman"/>
      <w:lvlText w:val="%3."/>
      <w:lvlJc w:val="left"/>
      <w:pPr>
        <w:ind w:left="18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3A596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1093B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FCDF2C">
      <w:start w:val="1"/>
      <w:numFmt w:val="lowerRoman"/>
      <w:lvlText w:val="%6."/>
      <w:lvlJc w:val="left"/>
      <w:pPr>
        <w:ind w:left="39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D8911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7466B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1E8DE2">
      <w:start w:val="1"/>
      <w:numFmt w:val="lowerRoman"/>
      <w:lvlText w:val="%9."/>
      <w:lvlJc w:val="left"/>
      <w:pPr>
        <w:ind w:left="61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E6257A6"/>
    <w:multiLevelType w:val="hybridMultilevel"/>
    <w:tmpl w:val="A462DE28"/>
    <w:lvl w:ilvl="0" w:tplc="08090005">
      <w:start w:val="1"/>
      <w:numFmt w:val="bullet"/>
      <w:lvlText w:val=""/>
      <w:lvlJc w:val="left"/>
      <w:pPr>
        <w:ind w:left="1419" w:hanging="360"/>
      </w:pPr>
      <w:rPr>
        <w:rFonts w:ascii="Wingdings" w:hAnsi="Wingdings" w:hint="default"/>
      </w:rPr>
    </w:lvl>
    <w:lvl w:ilvl="1" w:tplc="08090003">
      <w:start w:val="1"/>
      <w:numFmt w:val="bullet"/>
      <w:lvlText w:val="o"/>
      <w:lvlJc w:val="left"/>
      <w:pPr>
        <w:ind w:left="2139" w:hanging="360"/>
      </w:pPr>
      <w:rPr>
        <w:rFonts w:ascii="Courier New" w:hAnsi="Courier New" w:cs="Courier New" w:hint="default"/>
      </w:rPr>
    </w:lvl>
    <w:lvl w:ilvl="2" w:tplc="08090005" w:tentative="1">
      <w:start w:val="1"/>
      <w:numFmt w:val="bullet"/>
      <w:lvlText w:val=""/>
      <w:lvlJc w:val="left"/>
      <w:pPr>
        <w:ind w:left="2859" w:hanging="360"/>
      </w:pPr>
      <w:rPr>
        <w:rFonts w:ascii="Wingdings" w:hAnsi="Wingdings" w:hint="default"/>
      </w:rPr>
    </w:lvl>
    <w:lvl w:ilvl="3" w:tplc="08090001" w:tentative="1">
      <w:start w:val="1"/>
      <w:numFmt w:val="bullet"/>
      <w:lvlText w:val=""/>
      <w:lvlJc w:val="left"/>
      <w:pPr>
        <w:ind w:left="3579" w:hanging="360"/>
      </w:pPr>
      <w:rPr>
        <w:rFonts w:ascii="Symbol" w:hAnsi="Symbol" w:hint="default"/>
      </w:rPr>
    </w:lvl>
    <w:lvl w:ilvl="4" w:tplc="08090003" w:tentative="1">
      <w:start w:val="1"/>
      <w:numFmt w:val="bullet"/>
      <w:lvlText w:val="o"/>
      <w:lvlJc w:val="left"/>
      <w:pPr>
        <w:ind w:left="4299" w:hanging="360"/>
      </w:pPr>
      <w:rPr>
        <w:rFonts w:ascii="Courier New" w:hAnsi="Courier New" w:cs="Courier New" w:hint="default"/>
      </w:rPr>
    </w:lvl>
    <w:lvl w:ilvl="5" w:tplc="08090005" w:tentative="1">
      <w:start w:val="1"/>
      <w:numFmt w:val="bullet"/>
      <w:lvlText w:val=""/>
      <w:lvlJc w:val="left"/>
      <w:pPr>
        <w:ind w:left="5019" w:hanging="360"/>
      </w:pPr>
      <w:rPr>
        <w:rFonts w:ascii="Wingdings" w:hAnsi="Wingdings" w:hint="default"/>
      </w:rPr>
    </w:lvl>
    <w:lvl w:ilvl="6" w:tplc="08090001" w:tentative="1">
      <w:start w:val="1"/>
      <w:numFmt w:val="bullet"/>
      <w:lvlText w:val=""/>
      <w:lvlJc w:val="left"/>
      <w:pPr>
        <w:ind w:left="5739" w:hanging="360"/>
      </w:pPr>
      <w:rPr>
        <w:rFonts w:ascii="Symbol" w:hAnsi="Symbol" w:hint="default"/>
      </w:rPr>
    </w:lvl>
    <w:lvl w:ilvl="7" w:tplc="08090003" w:tentative="1">
      <w:start w:val="1"/>
      <w:numFmt w:val="bullet"/>
      <w:lvlText w:val="o"/>
      <w:lvlJc w:val="left"/>
      <w:pPr>
        <w:ind w:left="6459" w:hanging="360"/>
      </w:pPr>
      <w:rPr>
        <w:rFonts w:ascii="Courier New" w:hAnsi="Courier New" w:cs="Courier New" w:hint="default"/>
      </w:rPr>
    </w:lvl>
    <w:lvl w:ilvl="8" w:tplc="08090005" w:tentative="1">
      <w:start w:val="1"/>
      <w:numFmt w:val="bullet"/>
      <w:lvlText w:val=""/>
      <w:lvlJc w:val="left"/>
      <w:pPr>
        <w:ind w:left="7179" w:hanging="360"/>
      </w:pPr>
      <w:rPr>
        <w:rFonts w:ascii="Wingdings" w:hAnsi="Wingdings" w:hint="default"/>
      </w:rPr>
    </w:lvl>
  </w:abstractNum>
  <w:abstractNum w:abstractNumId="9" w15:restartNumberingAfterBreak="0">
    <w:nsid w:val="2F227793"/>
    <w:multiLevelType w:val="multilevel"/>
    <w:tmpl w:val="8936686E"/>
    <w:styleLink w:val="ImportedStyle4"/>
    <w:lvl w:ilvl="0">
      <w:start w:val="1"/>
      <w:numFmt w:val="decimal"/>
      <w:lvlText w:val="%1."/>
      <w:lvlJc w:val="left"/>
      <w:pPr>
        <w:ind w:left="39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8DF7A3F"/>
    <w:multiLevelType w:val="multilevel"/>
    <w:tmpl w:val="AB5453F2"/>
    <w:styleLink w:val="ImportedStyle3"/>
    <w:lvl w:ilvl="0">
      <w:start w:val="1"/>
      <w:numFmt w:val="decimal"/>
      <w:lvlText w:val="%1."/>
      <w:lvlJc w:val="left"/>
      <w:pPr>
        <w:ind w:left="785" w:hanging="7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9147A76"/>
    <w:multiLevelType w:val="hybridMultilevel"/>
    <w:tmpl w:val="EC1A28EC"/>
    <w:lvl w:ilvl="0" w:tplc="0809000F">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0E7D0D"/>
    <w:multiLevelType w:val="multilevel"/>
    <w:tmpl w:val="C87A88E4"/>
    <w:styleLink w:val="ImportedStyle1"/>
    <w:lvl w:ilvl="0">
      <w:start w:val="1"/>
      <w:numFmt w:val="decimal"/>
      <w:lvlText w:val="%1."/>
      <w:lvlJc w:val="left"/>
      <w:pPr>
        <w:tabs>
          <w:tab w:val="left" w:pos="600"/>
        </w:tabs>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0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60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60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60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60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60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60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0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D5B7A91"/>
    <w:multiLevelType w:val="multilevel"/>
    <w:tmpl w:val="3D903056"/>
    <w:styleLink w:val="ImportedStyle5"/>
    <w:lvl w:ilvl="0">
      <w:start w:val="1"/>
      <w:numFmt w:val="decimal"/>
      <w:lvlText w:val="%1."/>
      <w:lvlJc w:val="left"/>
      <w:pPr>
        <w:tabs>
          <w:tab w:val="left" w:pos="720"/>
        </w:tabs>
        <w:ind w:left="58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720"/>
        </w:tabs>
        <w:ind w:left="58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E04555D"/>
    <w:multiLevelType w:val="multilevel"/>
    <w:tmpl w:val="6608A006"/>
    <w:numStyleLink w:val="ImportedStyle6"/>
  </w:abstractNum>
  <w:abstractNum w:abstractNumId="15" w15:restartNumberingAfterBreak="0">
    <w:nsid w:val="42352AFD"/>
    <w:multiLevelType w:val="hybridMultilevel"/>
    <w:tmpl w:val="EC9CABD2"/>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6" w15:restartNumberingAfterBreak="0">
    <w:nsid w:val="44984E88"/>
    <w:multiLevelType w:val="multilevel"/>
    <w:tmpl w:val="F43E8020"/>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5836A78"/>
    <w:multiLevelType w:val="multilevel"/>
    <w:tmpl w:val="3D903056"/>
    <w:numStyleLink w:val="ImportedStyle5"/>
  </w:abstractNum>
  <w:abstractNum w:abstractNumId="18" w15:restartNumberingAfterBreak="0">
    <w:nsid w:val="4EDB7DE4"/>
    <w:multiLevelType w:val="multilevel"/>
    <w:tmpl w:val="C87A88E4"/>
    <w:numStyleLink w:val="ImportedStyle1"/>
  </w:abstractNum>
  <w:abstractNum w:abstractNumId="19" w15:restartNumberingAfterBreak="0">
    <w:nsid w:val="53912B2E"/>
    <w:multiLevelType w:val="hybridMultilevel"/>
    <w:tmpl w:val="83CA7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645A44"/>
    <w:multiLevelType w:val="hybridMultilevel"/>
    <w:tmpl w:val="5FB2937A"/>
    <w:lvl w:ilvl="0" w:tplc="08090005">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5A9F45A6"/>
    <w:multiLevelType w:val="multilevel"/>
    <w:tmpl w:val="7F2ACE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F005D90"/>
    <w:multiLevelType w:val="multilevel"/>
    <w:tmpl w:val="AB5453F2"/>
    <w:numStyleLink w:val="ImportedStyle3"/>
  </w:abstractNum>
  <w:abstractNum w:abstractNumId="23" w15:restartNumberingAfterBreak="0">
    <w:nsid w:val="62FF1C0E"/>
    <w:multiLevelType w:val="multilevel"/>
    <w:tmpl w:val="6608A006"/>
    <w:styleLink w:val="ImportedStyle6"/>
    <w:lvl w:ilvl="0">
      <w:start w:val="1"/>
      <w:numFmt w:val="decimal"/>
      <w:lvlText w:val="%1."/>
      <w:lvlJc w:val="left"/>
      <w:pPr>
        <w:ind w:left="668" w:hanging="6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85" w:hanging="7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42706C9"/>
    <w:multiLevelType w:val="hybridMultilevel"/>
    <w:tmpl w:val="F050EABC"/>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5" w15:restartNumberingAfterBreak="0">
    <w:nsid w:val="6ABB5D33"/>
    <w:multiLevelType w:val="multilevel"/>
    <w:tmpl w:val="7130D9C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D53797"/>
    <w:multiLevelType w:val="multilevel"/>
    <w:tmpl w:val="84AC3466"/>
    <w:styleLink w:val="ImportedStyle7"/>
    <w:lvl w:ilvl="0">
      <w:start w:val="1"/>
      <w:numFmt w:val="decimal"/>
      <w:lvlText w:val="%1."/>
      <w:lvlJc w:val="left"/>
      <w:pPr>
        <w:ind w:left="58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8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A5E3075"/>
    <w:multiLevelType w:val="hybridMultilevel"/>
    <w:tmpl w:val="7F52120E"/>
    <w:numStyleLink w:val="ImportedStyle9"/>
  </w:abstractNum>
  <w:abstractNum w:abstractNumId="28" w15:restartNumberingAfterBreak="0">
    <w:nsid w:val="7B1E019F"/>
    <w:multiLevelType w:val="hybridMultilevel"/>
    <w:tmpl w:val="DD84D13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8"/>
  </w:num>
  <w:num w:numId="3">
    <w:abstractNumId w:val="7"/>
  </w:num>
  <w:num w:numId="4">
    <w:abstractNumId w:val="1"/>
  </w:num>
  <w:num w:numId="5">
    <w:abstractNumId w:val="10"/>
  </w:num>
  <w:num w:numId="6">
    <w:abstractNumId w:val="22"/>
  </w:num>
  <w:num w:numId="7">
    <w:abstractNumId w:val="9"/>
  </w:num>
  <w:num w:numId="8">
    <w:abstractNumId w:val="0"/>
  </w:num>
  <w:num w:numId="9">
    <w:abstractNumId w:val="0"/>
    <w:lvlOverride w:ilvl="1">
      <w:startOverride w:val="2"/>
    </w:lvlOverride>
  </w:num>
  <w:num w:numId="10">
    <w:abstractNumId w:val="13"/>
  </w:num>
  <w:num w:numId="11">
    <w:abstractNumId w:val="17"/>
  </w:num>
  <w:num w:numId="12">
    <w:abstractNumId w:val="17"/>
    <w:lvlOverride w:ilvl="2">
      <w:startOverride w:val="5"/>
    </w:lvlOverride>
  </w:num>
  <w:num w:numId="13">
    <w:abstractNumId w:val="23"/>
  </w:num>
  <w:num w:numId="14">
    <w:abstractNumId w:val="14"/>
  </w:num>
  <w:num w:numId="15">
    <w:abstractNumId w:val="14"/>
    <w:lvlOverride w:ilvl="2">
      <w:startOverride w:val="7"/>
    </w:lvlOverride>
  </w:num>
  <w:num w:numId="16">
    <w:abstractNumId w:val="26"/>
  </w:num>
  <w:num w:numId="17">
    <w:abstractNumId w:val="4"/>
  </w:num>
  <w:num w:numId="18">
    <w:abstractNumId w:val="4"/>
    <w:lvlOverride w:ilvl="2">
      <w:startOverride w:val="8"/>
    </w:lvlOverride>
  </w:num>
  <w:num w:numId="19">
    <w:abstractNumId w:val="2"/>
  </w:num>
  <w:num w:numId="20">
    <w:abstractNumId w:val="5"/>
  </w:num>
  <w:num w:numId="21">
    <w:abstractNumId w:val="3"/>
  </w:num>
  <w:num w:numId="22">
    <w:abstractNumId w:val="27"/>
  </w:num>
  <w:num w:numId="23">
    <w:abstractNumId w:val="27"/>
    <w:lvlOverride w:ilvl="0">
      <w:startOverride w:val="8"/>
    </w:lvlOverride>
  </w:num>
  <w:num w:numId="24">
    <w:abstractNumId w:val="20"/>
  </w:num>
  <w:num w:numId="25">
    <w:abstractNumId w:val="28"/>
  </w:num>
  <w:num w:numId="26">
    <w:abstractNumId w:val="6"/>
  </w:num>
  <w:num w:numId="27">
    <w:abstractNumId w:val="8"/>
  </w:num>
  <w:num w:numId="28">
    <w:abstractNumId w:val="15"/>
  </w:num>
  <w:num w:numId="29">
    <w:abstractNumId w:val="11"/>
  </w:num>
  <w:num w:numId="30">
    <w:abstractNumId w:val="24"/>
  </w:num>
  <w:num w:numId="31">
    <w:abstractNumId w:val="21"/>
  </w:num>
  <w:num w:numId="32">
    <w:abstractNumId w:val="19"/>
  </w:num>
  <w:num w:numId="33">
    <w:abstractNumId w:val="1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8B"/>
    <w:rsid w:val="00004D94"/>
    <w:rsid w:val="00005FB6"/>
    <w:rsid w:val="000066CC"/>
    <w:rsid w:val="00011CC3"/>
    <w:rsid w:val="00017511"/>
    <w:rsid w:val="0002470C"/>
    <w:rsid w:val="0002707E"/>
    <w:rsid w:val="00036D1A"/>
    <w:rsid w:val="00053999"/>
    <w:rsid w:val="00055D98"/>
    <w:rsid w:val="00056EF0"/>
    <w:rsid w:val="0006066B"/>
    <w:rsid w:val="00064BE0"/>
    <w:rsid w:val="00065D00"/>
    <w:rsid w:val="00065E44"/>
    <w:rsid w:val="00067138"/>
    <w:rsid w:val="0007052E"/>
    <w:rsid w:val="000728AC"/>
    <w:rsid w:val="00082131"/>
    <w:rsid w:val="00085FE6"/>
    <w:rsid w:val="0008730D"/>
    <w:rsid w:val="000A2752"/>
    <w:rsid w:val="000A51E8"/>
    <w:rsid w:val="000B13D7"/>
    <w:rsid w:val="000B1692"/>
    <w:rsid w:val="000D22C3"/>
    <w:rsid w:val="000D5C2A"/>
    <w:rsid w:val="000E48AC"/>
    <w:rsid w:val="000E4D62"/>
    <w:rsid w:val="000F4E05"/>
    <w:rsid w:val="001071BC"/>
    <w:rsid w:val="00116B04"/>
    <w:rsid w:val="00130D9C"/>
    <w:rsid w:val="00133012"/>
    <w:rsid w:val="00134121"/>
    <w:rsid w:val="0014247E"/>
    <w:rsid w:val="00146B9E"/>
    <w:rsid w:val="00152F50"/>
    <w:rsid w:val="00160C5D"/>
    <w:rsid w:val="001635C3"/>
    <w:rsid w:val="001705FC"/>
    <w:rsid w:val="00170FA7"/>
    <w:rsid w:val="001816E4"/>
    <w:rsid w:val="00185EC0"/>
    <w:rsid w:val="00190A11"/>
    <w:rsid w:val="001A0DC5"/>
    <w:rsid w:val="001A1487"/>
    <w:rsid w:val="001A26B6"/>
    <w:rsid w:val="001A5E2A"/>
    <w:rsid w:val="001B69C0"/>
    <w:rsid w:val="001C1155"/>
    <w:rsid w:val="001C613F"/>
    <w:rsid w:val="001D109F"/>
    <w:rsid w:val="001D1B4C"/>
    <w:rsid w:val="001D2B58"/>
    <w:rsid w:val="001D4BB6"/>
    <w:rsid w:val="001E36D8"/>
    <w:rsid w:val="001E5FBB"/>
    <w:rsid w:val="001E61DA"/>
    <w:rsid w:val="001E77CD"/>
    <w:rsid w:val="001F3071"/>
    <w:rsid w:val="001F3736"/>
    <w:rsid w:val="001F4D16"/>
    <w:rsid w:val="00202093"/>
    <w:rsid w:val="0020482D"/>
    <w:rsid w:val="002057BE"/>
    <w:rsid w:val="00210C40"/>
    <w:rsid w:val="002150E4"/>
    <w:rsid w:val="0022642A"/>
    <w:rsid w:val="00254921"/>
    <w:rsid w:val="002636D7"/>
    <w:rsid w:val="00263A21"/>
    <w:rsid w:val="002822BA"/>
    <w:rsid w:val="00284419"/>
    <w:rsid w:val="00290C84"/>
    <w:rsid w:val="00295A66"/>
    <w:rsid w:val="002A02A0"/>
    <w:rsid w:val="002A08B1"/>
    <w:rsid w:val="002A0A3E"/>
    <w:rsid w:val="002A44F3"/>
    <w:rsid w:val="002A7F1B"/>
    <w:rsid w:val="002B1608"/>
    <w:rsid w:val="002B197A"/>
    <w:rsid w:val="002B1ACC"/>
    <w:rsid w:val="002B3CC8"/>
    <w:rsid w:val="002C440D"/>
    <w:rsid w:val="002E7532"/>
    <w:rsid w:val="002F06FE"/>
    <w:rsid w:val="002F40A5"/>
    <w:rsid w:val="00303A87"/>
    <w:rsid w:val="00320A0C"/>
    <w:rsid w:val="00323A10"/>
    <w:rsid w:val="00327DCB"/>
    <w:rsid w:val="00335F2E"/>
    <w:rsid w:val="00343E86"/>
    <w:rsid w:val="00347617"/>
    <w:rsid w:val="003518C1"/>
    <w:rsid w:val="00354318"/>
    <w:rsid w:val="00354F70"/>
    <w:rsid w:val="00355806"/>
    <w:rsid w:val="00355B16"/>
    <w:rsid w:val="00355DD6"/>
    <w:rsid w:val="00373700"/>
    <w:rsid w:val="00377C9E"/>
    <w:rsid w:val="00380C70"/>
    <w:rsid w:val="00382E54"/>
    <w:rsid w:val="0038672E"/>
    <w:rsid w:val="003908AF"/>
    <w:rsid w:val="00392697"/>
    <w:rsid w:val="0039660D"/>
    <w:rsid w:val="003A73E9"/>
    <w:rsid w:val="003B2308"/>
    <w:rsid w:val="003B6E8A"/>
    <w:rsid w:val="003C297F"/>
    <w:rsid w:val="003D22D9"/>
    <w:rsid w:val="003E44F7"/>
    <w:rsid w:val="003E625B"/>
    <w:rsid w:val="003F001D"/>
    <w:rsid w:val="003F4047"/>
    <w:rsid w:val="003F5415"/>
    <w:rsid w:val="00403899"/>
    <w:rsid w:val="00413C4A"/>
    <w:rsid w:val="00415B32"/>
    <w:rsid w:val="00417B5D"/>
    <w:rsid w:val="00426BEF"/>
    <w:rsid w:val="00432C29"/>
    <w:rsid w:val="004364B0"/>
    <w:rsid w:val="00441D50"/>
    <w:rsid w:val="004555EF"/>
    <w:rsid w:val="004665BE"/>
    <w:rsid w:val="00473B4B"/>
    <w:rsid w:val="00480EEA"/>
    <w:rsid w:val="00482453"/>
    <w:rsid w:val="00485302"/>
    <w:rsid w:val="00485B1A"/>
    <w:rsid w:val="004864D2"/>
    <w:rsid w:val="00486D06"/>
    <w:rsid w:val="004907D1"/>
    <w:rsid w:val="004928E2"/>
    <w:rsid w:val="00494CB0"/>
    <w:rsid w:val="004A365C"/>
    <w:rsid w:val="004B0B8A"/>
    <w:rsid w:val="004B150B"/>
    <w:rsid w:val="004C7263"/>
    <w:rsid w:val="004D31B9"/>
    <w:rsid w:val="004D487A"/>
    <w:rsid w:val="004E0B32"/>
    <w:rsid w:val="004E1B2E"/>
    <w:rsid w:val="004F34B6"/>
    <w:rsid w:val="00513AAA"/>
    <w:rsid w:val="00517BF1"/>
    <w:rsid w:val="00522443"/>
    <w:rsid w:val="00537436"/>
    <w:rsid w:val="00542CBF"/>
    <w:rsid w:val="00553D6C"/>
    <w:rsid w:val="0055439B"/>
    <w:rsid w:val="00582D60"/>
    <w:rsid w:val="00583FBB"/>
    <w:rsid w:val="00584841"/>
    <w:rsid w:val="00587AEA"/>
    <w:rsid w:val="005964E9"/>
    <w:rsid w:val="00597F56"/>
    <w:rsid w:val="005A25C4"/>
    <w:rsid w:val="005A55D5"/>
    <w:rsid w:val="005B0D95"/>
    <w:rsid w:val="005C4380"/>
    <w:rsid w:val="005C64B3"/>
    <w:rsid w:val="005D4D58"/>
    <w:rsid w:val="005E080D"/>
    <w:rsid w:val="005E4234"/>
    <w:rsid w:val="00602744"/>
    <w:rsid w:val="006031D3"/>
    <w:rsid w:val="006044F1"/>
    <w:rsid w:val="006105A0"/>
    <w:rsid w:val="00617B49"/>
    <w:rsid w:val="00625F1F"/>
    <w:rsid w:val="00627A43"/>
    <w:rsid w:val="006322D1"/>
    <w:rsid w:val="00635FED"/>
    <w:rsid w:val="00641610"/>
    <w:rsid w:val="006606B5"/>
    <w:rsid w:val="00661E73"/>
    <w:rsid w:val="00666149"/>
    <w:rsid w:val="0066622E"/>
    <w:rsid w:val="00672287"/>
    <w:rsid w:val="00675021"/>
    <w:rsid w:val="00680597"/>
    <w:rsid w:val="006922C9"/>
    <w:rsid w:val="006B757F"/>
    <w:rsid w:val="006C49DE"/>
    <w:rsid w:val="006C5264"/>
    <w:rsid w:val="006D4EEF"/>
    <w:rsid w:val="006E5495"/>
    <w:rsid w:val="006E66E5"/>
    <w:rsid w:val="006F6C4E"/>
    <w:rsid w:val="007015DB"/>
    <w:rsid w:val="007116D7"/>
    <w:rsid w:val="0071646A"/>
    <w:rsid w:val="007207C3"/>
    <w:rsid w:val="00721562"/>
    <w:rsid w:val="007571F7"/>
    <w:rsid w:val="00764AF0"/>
    <w:rsid w:val="00770A81"/>
    <w:rsid w:val="00786667"/>
    <w:rsid w:val="007912B5"/>
    <w:rsid w:val="007920DF"/>
    <w:rsid w:val="0079601B"/>
    <w:rsid w:val="007A2442"/>
    <w:rsid w:val="007B7076"/>
    <w:rsid w:val="007C1F32"/>
    <w:rsid w:val="007C5568"/>
    <w:rsid w:val="007C74F3"/>
    <w:rsid w:val="007C781E"/>
    <w:rsid w:val="007E1486"/>
    <w:rsid w:val="007E2D6C"/>
    <w:rsid w:val="007F1E8C"/>
    <w:rsid w:val="008013C8"/>
    <w:rsid w:val="008014FB"/>
    <w:rsid w:val="00812CAF"/>
    <w:rsid w:val="00812E3F"/>
    <w:rsid w:val="00813557"/>
    <w:rsid w:val="00814544"/>
    <w:rsid w:val="00814EC0"/>
    <w:rsid w:val="008238AC"/>
    <w:rsid w:val="008246E7"/>
    <w:rsid w:val="008267B9"/>
    <w:rsid w:val="008276D7"/>
    <w:rsid w:val="008336DF"/>
    <w:rsid w:val="0083678B"/>
    <w:rsid w:val="00846528"/>
    <w:rsid w:val="0084727A"/>
    <w:rsid w:val="00854A42"/>
    <w:rsid w:val="00855B4D"/>
    <w:rsid w:val="00855C98"/>
    <w:rsid w:val="00860AE7"/>
    <w:rsid w:val="00864539"/>
    <w:rsid w:val="00865580"/>
    <w:rsid w:val="0086639A"/>
    <w:rsid w:val="00870A5B"/>
    <w:rsid w:val="00881641"/>
    <w:rsid w:val="008855C8"/>
    <w:rsid w:val="00896FEB"/>
    <w:rsid w:val="008A0541"/>
    <w:rsid w:val="008B28A7"/>
    <w:rsid w:val="008B3FF5"/>
    <w:rsid w:val="008B44D4"/>
    <w:rsid w:val="008B6DE2"/>
    <w:rsid w:val="008C002C"/>
    <w:rsid w:val="008C0AA1"/>
    <w:rsid w:val="008C38E3"/>
    <w:rsid w:val="008D5C37"/>
    <w:rsid w:val="008D5E8F"/>
    <w:rsid w:val="008D6571"/>
    <w:rsid w:val="008E0BEF"/>
    <w:rsid w:val="008E5188"/>
    <w:rsid w:val="008E5914"/>
    <w:rsid w:val="00916A23"/>
    <w:rsid w:val="00925503"/>
    <w:rsid w:val="0093401D"/>
    <w:rsid w:val="00935054"/>
    <w:rsid w:val="0093549A"/>
    <w:rsid w:val="00946F97"/>
    <w:rsid w:val="009631E6"/>
    <w:rsid w:val="00966707"/>
    <w:rsid w:val="00972E1A"/>
    <w:rsid w:val="009853C9"/>
    <w:rsid w:val="009A1300"/>
    <w:rsid w:val="009A47BF"/>
    <w:rsid w:val="009A6179"/>
    <w:rsid w:val="009B0416"/>
    <w:rsid w:val="009B32A9"/>
    <w:rsid w:val="009B4E78"/>
    <w:rsid w:val="009C15BE"/>
    <w:rsid w:val="009C6CFE"/>
    <w:rsid w:val="009C6E6F"/>
    <w:rsid w:val="009E1B79"/>
    <w:rsid w:val="009F3870"/>
    <w:rsid w:val="00A21C94"/>
    <w:rsid w:val="00A22967"/>
    <w:rsid w:val="00A229D8"/>
    <w:rsid w:val="00A45EB8"/>
    <w:rsid w:val="00A52D33"/>
    <w:rsid w:val="00A652EC"/>
    <w:rsid w:val="00A85F89"/>
    <w:rsid w:val="00AA1515"/>
    <w:rsid w:val="00AA2044"/>
    <w:rsid w:val="00AD1D97"/>
    <w:rsid w:val="00AD69E6"/>
    <w:rsid w:val="00AE1985"/>
    <w:rsid w:val="00AF1B7B"/>
    <w:rsid w:val="00B04A9B"/>
    <w:rsid w:val="00B05AD8"/>
    <w:rsid w:val="00B25ABB"/>
    <w:rsid w:val="00B2681B"/>
    <w:rsid w:val="00B26A66"/>
    <w:rsid w:val="00B33367"/>
    <w:rsid w:val="00B442C1"/>
    <w:rsid w:val="00B60CE5"/>
    <w:rsid w:val="00B67929"/>
    <w:rsid w:val="00B7026E"/>
    <w:rsid w:val="00B7484D"/>
    <w:rsid w:val="00B803D0"/>
    <w:rsid w:val="00B8451F"/>
    <w:rsid w:val="00B84634"/>
    <w:rsid w:val="00B86EF3"/>
    <w:rsid w:val="00B95A51"/>
    <w:rsid w:val="00BA7748"/>
    <w:rsid w:val="00BB3A16"/>
    <w:rsid w:val="00BB5657"/>
    <w:rsid w:val="00BC0924"/>
    <w:rsid w:val="00BC7AD7"/>
    <w:rsid w:val="00BD3563"/>
    <w:rsid w:val="00BD78CB"/>
    <w:rsid w:val="00BE49BF"/>
    <w:rsid w:val="00BE4ADE"/>
    <w:rsid w:val="00BE6363"/>
    <w:rsid w:val="00BE7B50"/>
    <w:rsid w:val="00BF34EF"/>
    <w:rsid w:val="00BF5BF9"/>
    <w:rsid w:val="00BF6F03"/>
    <w:rsid w:val="00C03065"/>
    <w:rsid w:val="00C150D1"/>
    <w:rsid w:val="00C27596"/>
    <w:rsid w:val="00C45BA4"/>
    <w:rsid w:val="00C4713B"/>
    <w:rsid w:val="00C51FFB"/>
    <w:rsid w:val="00C52EC8"/>
    <w:rsid w:val="00C57702"/>
    <w:rsid w:val="00C65401"/>
    <w:rsid w:val="00C6609B"/>
    <w:rsid w:val="00C7637C"/>
    <w:rsid w:val="00C82825"/>
    <w:rsid w:val="00C91B59"/>
    <w:rsid w:val="00CC1DDC"/>
    <w:rsid w:val="00CD020E"/>
    <w:rsid w:val="00CD2DC2"/>
    <w:rsid w:val="00CE05F0"/>
    <w:rsid w:val="00CE0A49"/>
    <w:rsid w:val="00CE3085"/>
    <w:rsid w:val="00CF68A4"/>
    <w:rsid w:val="00D01427"/>
    <w:rsid w:val="00D10DE5"/>
    <w:rsid w:val="00D176D5"/>
    <w:rsid w:val="00D22CA5"/>
    <w:rsid w:val="00D26928"/>
    <w:rsid w:val="00D26B9D"/>
    <w:rsid w:val="00D27EBB"/>
    <w:rsid w:val="00D472D4"/>
    <w:rsid w:val="00D50B2A"/>
    <w:rsid w:val="00D54AD9"/>
    <w:rsid w:val="00D554FE"/>
    <w:rsid w:val="00D57EE3"/>
    <w:rsid w:val="00D617EA"/>
    <w:rsid w:val="00D66449"/>
    <w:rsid w:val="00D70668"/>
    <w:rsid w:val="00D7411E"/>
    <w:rsid w:val="00D84613"/>
    <w:rsid w:val="00D84EAF"/>
    <w:rsid w:val="00D8761F"/>
    <w:rsid w:val="00D92D4A"/>
    <w:rsid w:val="00DA6042"/>
    <w:rsid w:val="00DC2B87"/>
    <w:rsid w:val="00DC4B99"/>
    <w:rsid w:val="00DC6982"/>
    <w:rsid w:val="00DD2410"/>
    <w:rsid w:val="00DD46F1"/>
    <w:rsid w:val="00DD5C6B"/>
    <w:rsid w:val="00DE2B74"/>
    <w:rsid w:val="00DF07DD"/>
    <w:rsid w:val="00DF0911"/>
    <w:rsid w:val="00E00259"/>
    <w:rsid w:val="00E10C7E"/>
    <w:rsid w:val="00E15EF2"/>
    <w:rsid w:val="00E2239B"/>
    <w:rsid w:val="00E33B0A"/>
    <w:rsid w:val="00E44023"/>
    <w:rsid w:val="00E64096"/>
    <w:rsid w:val="00E67DE7"/>
    <w:rsid w:val="00E94037"/>
    <w:rsid w:val="00EB5B23"/>
    <w:rsid w:val="00EC208F"/>
    <w:rsid w:val="00ED0DCD"/>
    <w:rsid w:val="00ED176E"/>
    <w:rsid w:val="00EE14C5"/>
    <w:rsid w:val="00EE5743"/>
    <w:rsid w:val="00EF0B41"/>
    <w:rsid w:val="00EF297B"/>
    <w:rsid w:val="00F07271"/>
    <w:rsid w:val="00F072C4"/>
    <w:rsid w:val="00F16E6D"/>
    <w:rsid w:val="00F33CDC"/>
    <w:rsid w:val="00F44FF2"/>
    <w:rsid w:val="00F46780"/>
    <w:rsid w:val="00F54641"/>
    <w:rsid w:val="00F60B78"/>
    <w:rsid w:val="00F7640C"/>
    <w:rsid w:val="00FA757D"/>
    <w:rsid w:val="00FB0ABF"/>
    <w:rsid w:val="00FB6A92"/>
    <w:rsid w:val="00FC415A"/>
    <w:rsid w:val="00FC56B5"/>
    <w:rsid w:val="00FD2826"/>
    <w:rsid w:val="00FD3CDD"/>
    <w:rsid w:val="00FD7ED9"/>
    <w:rsid w:val="00FE3E49"/>
    <w:rsid w:val="00FF4AC9"/>
    <w:rsid w:val="00FF7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5383"/>
  <w15:docId w15:val="{3B921538-3F25-4A1B-AAFB-F5CDD2D7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jc w:val="both"/>
    </w:pPr>
    <w:rPr>
      <w:rFonts w:ascii="Arial" w:eastAsia="Arial" w:hAnsi="Arial" w:cs="Arial"/>
      <w:color w:val="000000"/>
      <w:sz w:val="22"/>
      <w:szCs w:val="22"/>
      <w:u w:color="000000"/>
      <w:lang w:val="en-US"/>
    </w:rPr>
  </w:style>
  <w:style w:type="paragraph" w:styleId="Heading2">
    <w:name w:val="heading 2"/>
    <w:next w:val="Normal"/>
    <w:pPr>
      <w:keepNext/>
      <w:jc w:val="both"/>
      <w:outlineLvl w:val="1"/>
    </w:pPr>
    <w:rPr>
      <w:rFonts w:ascii="Arial" w:eastAsia="Arial" w:hAnsi="Arial" w:cs="Arial"/>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jc w:val="both"/>
    </w:pPr>
    <w:rPr>
      <w:rFonts w:ascii="Arial" w:hAnsi="Arial" w:cs="Arial Unicode MS"/>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7">
    <w:name w:val="Imported Style 7"/>
    <w:pPr>
      <w:numPr>
        <w:numId w:val="16"/>
      </w:numPr>
    </w:pPr>
  </w:style>
  <w:style w:type="numbering" w:customStyle="1" w:styleId="ImportedStyle8">
    <w:name w:val="Imported Style 8"/>
    <w:pPr>
      <w:numPr>
        <w:numId w:val="19"/>
      </w:numPr>
    </w:pPr>
  </w:style>
  <w:style w:type="numbering" w:customStyle="1" w:styleId="ImportedStyle9">
    <w:name w:val="Imported Style 9"/>
    <w:pPr>
      <w:numPr>
        <w:numId w:val="21"/>
      </w:numPr>
    </w:pPr>
  </w:style>
  <w:style w:type="paragraph" w:styleId="BalloonText">
    <w:name w:val="Balloon Text"/>
    <w:basedOn w:val="Normal"/>
    <w:link w:val="BalloonTextChar"/>
    <w:uiPriority w:val="99"/>
    <w:semiHidden/>
    <w:unhideWhenUsed/>
    <w:rsid w:val="00303A87"/>
    <w:rPr>
      <w:rFonts w:ascii="Tahoma" w:hAnsi="Tahoma" w:cs="Tahoma"/>
      <w:sz w:val="16"/>
      <w:szCs w:val="16"/>
    </w:rPr>
  </w:style>
  <w:style w:type="character" w:customStyle="1" w:styleId="BalloonTextChar">
    <w:name w:val="Balloon Text Char"/>
    <w:basedOn w:val="DefaultParagraphFont"/>
    <w:link w:val="BalloonText"/>
    <w:uiPriority w:val="99"/>
    <w:semiHidden/>
    <w:rsid w:val="00303A87"/>
    <w:rPr>
      <w:rFonts w:ascii="Tahoma" w:eastAsia="Arial" w:hAnsi="Tahoma" w:cs="Tahoma"/>
      <w:color w:val="000000"/>
      <w:sz w:val="16"/>
      <w:szCs w:val="16"/>
      <w:u w:color="000000"/>
      <w:lang w:val="en-US"/>
    </w:rPr>
  </w:style>
  <w:style w:type="paragraph" w:styleId="ListParagraph">
    <w:name w:val="List Paragraph"/>
    <w:basedOn w:val="Normal"/>
    <w:uiPriority w:val="34"/>
    <w:qFormat/>
    <w:rsid w:val="00553D6C"/>
    <w:pPr>
      <w:ind w:left="720"/>
      <w:contextualSpacing/>
    </w:pPr>
  </w:style>
  <w:style w:type="paragraph" w:styleId="Footer">
    <w:name w:val="footer"/>
    <w:basedOn w:val="Normal"/>
    <w:link w:val="FooterChar"/>
    <w:uiPriority w:val="99"/>
    <w:unhideWhenUsed/>
    <w:rsid w:val="004C7263"/>
    <w:pPr>
      <w:tabs>
        <w:tab w:val="center" w:pos="4513"/>
        <w:tab w:val="right" w:pos="9026"/>
      </w:tabs>
    </w:pPr>
  </w:style>
  <w:style w:type="character" w:customStyle="1" w:styleId="FooterChar">
    <w:name w:val="Footer Char"/>
    <w:basedOn w:val="DefaultParagraphFont"/>
    <w:link w:val="Footer"/>
    <w:uiPriority w:val="99"/>
    <w:rsid w:val="004C7263"/>
    <w:rPr>
      <w:rFonts w:ascii="Arial" w:eastAsia="Arial" w:hAnsi="Arial" w:cs="Arial"/>
      <w:color w:val="000000"/>
      <w:sz w:val="22"/>
      <w:szCs w:val="22"/>
      <w:u w:color="000000"/>
      <w:lang w:val="en-US"/>
    </w:rPr>
  </w:style>
  <w:style w:type="character" w:styleId="CommentReference">
    <w:name w:val="annotation reference"/>
    <w:basedOn w:val="DefaultParagraphFont"/>
    <w:uiPriority w:val="99"/>
    <w:semiHidden/>
    <w:unhideWhenUsed/>
    <w:rsid w:val="00403899"/>
    <w:rPr>
      <w:sz w:val="16"/>
      <w:szCs w:val="16"/>
    </w:rPr>
  </w:style>
  <w:style w:type="paragraph" w:styleId="CommentText">
    <w:name w:val="annotation text"/>
    <w:basedOn w:val="Normal"/>
    <w:link w:val="CommentTextChar"/>
    <w:uiPriority w:val="99"/>
    <w:semiHidden/>
    <w:unhideWhenUsed/>
    <w:rsid w:val="00403899"/>
    <w:rPr>
      <w:sz w:val="20"/>
      <w:szCs w:val="20"/>
    </w:rPr>
  </w:style>
  <w:style w:type="character" w:customStyle="1" w:styleId="CommentTextChar">
    <w:name w:val="Comment Text Char"/>
    <w:basedOn w:val="DefaultParagraphFont"/>
    <w:link w:val="CommentText"/>
    <w:uiPriority w:val="99"/>
    <w:semiHidden/>
    <w:rsid w:val="00403899"/>
    <w:rPr>
      <w:rFonts w:ascii="Arial" w:eastAsia="Arial" w:hAnsi="Arial" w:cs="Arial"/>
      <w:color w:val="000000"/>
      <w:u w:color="000000"/>
      <w:lang w:val="en-US"/>
    </w:rPr>
  </w:style>
  <w:style w:type="paragraph" w:styleId="CommentSubject">
    <w:name w:val="annotation subject"/>
    <w:basedOn w:val="CommentText"/>
    <w:next w:val="CommentText"/>
    <w:link w:val="CommentSubjectChar"/>
    <w:uiPriority w:val="99"/>
    <w:semiHidden/>
    <w:unhideWhenUsed/>
    <w:rsid w:val="00403899"/>
    <w:rPr>
      <w:b/>
      <w:bCs/>
    </w:rPr>
  </w:style>
  <w:style w:type="character" w:customStyle="1" w:styleId="CommentSubjectChar">
    <w:name w:val="Comment Subject Char"/>
    <w:basedOn w:val="CommentTextChar"/>
    <w:link w:val="CommentSubject"/>
    <w:uiPriority w:val="99"/>
    <w:semiHidden/>
    <w:rsid w:val="00403899"/>
    <w:rPr>
      <w:rFonts w:ascii="Arial" w:eastAsia="Arial" w:hAnsi="Arial" w:cs="Arial"/>
      <w:b/>
      <w:bCs/>
      <w:color w:val="000000"/>
      <w:u w:color="000000"/>
      <w:lang w:val="en-US"/>
    </w:rPr>
  </w:style>
  <w:style w:type="paragraph" w:styleId="BodyText">
    <w:name w:val="Body Text"/>
    <w:basedOn w:val="Normal"/>
    <w:link w:val="BodyTextChar"/>
    <w:rsid w:val="007015DB"/>
    <w:pPr>
      <w:pBdr>
        <w:top w:val="none" w:sz="0" w:space="0" w:color="auto"/>
        <w:left w:val="none" w:sz="0" w:space="0" w:color="auto"/>
        <w:bottom w:val="none" w:sz="0" w:space="0" w:color="auto"/>
        <w:right w:val="none" w:sz="0" w:space="0" w:color="auto"/>
        <w:between w:val="none" w:sz="0" w:space="0" w:color="auto"/>
        <w:bar w:val="none" w:sz="0" w:color="auto"/>
      </w:pBdr>
      <w:spacing w:after="220" w:line="180" w:lineRule="atLeast"/>
    </w:pPr>
    <w:rPr>
      <w:rFonts w:ascii="Times New Roman" w:eastAsia="Times New Roman" w:hAnsi="Times New Roman" w:cs="Times New Roman"/>
      <w:color w:val="auto"/>
      <w:szCs w:val="20"/>
      <w:bdr w:val="none" w:sz="0" w:space="0" w:color="auto"/>
      <w:lang w:val="en-GB" w:eastAsia="en-US"/>
    </w:rPr>
  </w:style>
  <w:style w:type="character" w:customStyle="1" w:styleId="BodyTextChar">
    <w:name w:val="Body Text Char"/>
    <w:basedOn w:val="DefaultParagraphFont"/>
    <w:link w:val="BodyText"/>
    <w:rsid w:val="007015DB"/>
    <w:rPr>
      <w:rFonts w:eastAsia="Times New Roman"/>
      <w:sz w:val="22"/>
      <w:bdr w:val="none" w:sz="0" w:space="0" w:color="auto"/>
      <w:lang w:eastAsia="en-US"/>
    </w:rPr>
  </w:style>
  <w:style w:type="paragraph" w:customStyle="1" w:styleId="SignatureName">
    <w:name w:val="Signature Name"/>
    <w:basedOn w:val="Normal"/>
    <w:next w:val="Normal"/>
    <w:rsid w:val="00EE14C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60" w:line="180" w:lineRule="atLeast"/>
    </w:pPr>
    <w:rPr>
      <w:rFonts w:ascii="Times New Roman" w:eastAsia="Times New Roman" w:hAnsi="Times New Roman" w:cs="Times New Roman"/>
      <w:color w:val="auto"/>
      <w:szCs w:val="20"/>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98208">
      <w:bodyDiv w:val="1"/>
      <w:marLeft w:val="0"/>
      <w:marRight w:val="0"/>
      <w:marTop w:val="0"/>
      <w:marBottom w:val="0"/>
      <w:divBdr>
        <w:top w:val="none" w:sz="0" w:space="0" w:color="auto"/>
        <w:left w:val="none" w:sz="0" w:space="0" w:color="auto"/>
        <w:bottom w:val="none" w:sz="0" w:space="0" w:color="auto"/>
        <w:right w:val="none" w:sz="0" w:space="0" w:color="auto"/>
      </w:divBdr>
    </w:div>
    <w:div w:id="783186305">
      <w:bodyDiv w:val="1"/>
      <w:marLeft w:val="0"/>
      <w:marRight w:val="0"/>
      <w:marTop w:val="0"/>
      <w:marBottom w:val="0"/>
      <w:divBdr>
        <w:top w:val="none" w:sz="0" w:space="0" w:color="auto"/>
        <w:left w:val="none" w:sz="0" w:space="0" w:color="auto"/>
        <w:bottom w:val="none" w:sz="0" w:space="0" w:color="auto"/>
        <w:right w:val="none" w:sz="0" w:space="0" w:color="auto"/>
      </w:divBdr>
    </w:div>
    <w:div w:id="849637889">
      <w:bodyDiv w:val="1"/>
      <w:marLeft w:val="0"/>
      <w:marRight w:val="0"/>
      <w:marTop w:val="0"/>
      <w:marBottom w:val="0"/>
      <w:divBdr>
        <w:top w:val="none" w:sz="0" w:space="0" w:color="auto"/>
        <w:left w:val="none" w:sz="0" w:space="0" w:color="auto"/>
        <w:bottom w:val="none" w:sz="0" w:space="0" w:color="auto"/>
        <w:right w:val="none" w:sz="0" w:space="0" w:color="auto"/>
      </w:divBdr>
    </w:div>
    <w:div w:id="1085685672">
      <w:bodyDiv w:val="1"/>
      <w:marLeft w:val="0"/>
      <w:marRight w:val="0"/>
      <w:marTop w:val="0"/>
      <w:marBottom w:val="0"/>
      <w:divBdr>
        <w:top w:val="none" w:sz="0" w:space="0" w:color="auto"/>
        <w:left w:val="none" w:sz="0" w:space="0" w:color="auto"/>
        <w:bottom w:val="none" w:sz="0" w:space="0" w:color="auto"/>
        <w:right w:val="none" w:sz="0" w:space="0" w:color="auto"/>
      </w:divBdr>
    </w:div>
    <w:div w:id="1506163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wayne@mansfiel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FB53A1D-7767-41E9-9355-073783CB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3897</Words>
  <Characters>22216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26061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Turner</dc:creator>
  <cp:lastModifiedBy>Gabriella Wright</cp:lastModifiedBy>
  <cp:revision>3</cp:revision>
  <cp:lastPrinted>2019-05-29T15:14:00Z</cp:lastPrinted>
  <dcterms:created xsi:type="dcterms:W3CDTF">2021-06-07T14:11:00Z</dcterms:created>
  <dcterms:modified xsi:type="dcterms:W3CDTF">2021-06-15T12:03:00Z</dcterms:modified>
</cp:coreProperties>
</file>