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25D9" w14:textId="77777777" w:rsidR="004E0E92" w:rsidRPr="00531CC4" w:rsidRDefault="004E0E92" w:rsidP="002A102F">
      <w:pPr>
        <w:rPr>
          <w:sz w:val="24"/>
          <w:szCs w:val="24"/>
        </w:rPr>
      </w:pPr>
      <w:bookmarkStart w:id="0" w:name="_GoBack"/>
      <w:bookmarkEnd w:id="0"/>
    </w:p>
    <w:tbl>
      <w:tblPr>
        <w:tblW w:w="0" w:type="auto"/>
        <w:tblLook w:val="01E0" w:firstRow="1" w:lastRow="1" w:firstColumn="1" w:lastColumn="1" w:noHBand="0" w:noVBand="0"/>
      </w:tblPr>
      <w:tblGrid>
        <w:gridCol w:w="9057"/>
        <w:gridCol w:w="14"/>
      </w:tblGrid>
      <w:tr w:rsidR="004E0E92" w:rsidRPr="00BC2009" w14:paraId="58DD2EF2" w14:textId="77777777" w:rsidTr="00083108">
        <w:trPr>
          <w:gridAfter w:val="1"/>
          <w:wAfter w:w="14" w:type="dxa"/>
          <w:trHeight w:val="1674"/>
        </w:trPr>
        <w:tc>
          <w:tcPr>
            <w:tcW w:w="9228" w:type="dxa"/>
            <w:shd w:val="clear" w:color="auto" w:fill="auto"/>
          </w:tcPr>
          <w:p w14:paraId="26E39A40" w14:textId="77777777" w:rsidR="004E0E92" w:rsidRPr="00BC2009" w:rsidRDefault="004E0E92" w:rsidP="002A102F">
            <w:pPr>
              <w:jc w:val="center"/>
              <w:rPr>
                <w:rFonts w:ascii="Arial Black" w:hAnsi="Arial Black"/>
                <w:sz w:val="24"/>
                <w:szCs w:val="24"/>
              </w:rPr>
            </w:pPr>
            <w:r w:rsidRPr="00BC2009">
              <w:rPr>
                <w:rFonts w:ascii="Arial Black" w:hAnsi="Arial Black"/>
                <w:sz w:val="24"/>
                <w:szCs w:val="24"/>
              </w:rPr>
              <w:t>Briefing Paper</w:t>
            </w:r>
          </w:p>
          <w:p w14:paraId="04A1475F" w14:textId="77777777" w:rsidR="004E0E92" w:rsidRPr="00BC2009" w:rsidRDefault="004E0E92" w:rsidP="002A102F">
            <w:pPr>
              <w:jc w:val="center"/>
              <w:rPr>
                <w:rFonts w:ascii="Arial Black" w:hAnsi="Arial Black"/>
                <w:sz w:val="24"/>
                <w:szCs w:val="24"/>
              </w:rPr>
            </w:pPr>
            <w:r w:rsidRPr="00BC2009">
              <w:rPr>
                <w:rFonts w:ascii="Arial Black" w:hAnsi="Arial Black"/>
                <w:sz w:val="24"/>
                <w:szCs w:val="24"/>
              </w:rPr>
              <w:t>To</w:t>
            </w:r>
          </w:p>
          <w:p w14:paraId="3A3BAAE1" w14:textId="77777777" w:rsidR="004E0E92" w:rsidRPr="00BC2009" w:rsidRDefault="004E0E92" w:rsidP="002A102F">
            <w:pPr>
              <w:jc w:val="center"/>
              <w:rPr>
                <w:rFonts w:ascii="Arial Black" w:hAnsi="Arial Black"/>
                <w:sz w:val="24"/>
                <w:szCs w:val="24"/>
              </w:rPr>
            </w:pPr>
            <w:r>
              <w:rPr>
                <w:rFonts w:ascii="Arial Black" w:hAnsi="Arial Black"/>
                <w:sz w:val="24"/>
                <w:szCs w:val="24"/>
              </w:rPr>
              <w:t>O</w:t>
            </w:r>
            <w:r w:rsidR="00556D50">
              <w:rPr>
                <w:rFonts w:ascii="Arial Black" w:hAnsi="Arial Black"/>
                <w:sz w:val="24"/>
                <w:szCs w:val="24"/>
              </w:rPr>
              <w:t xml:space="preserve">verview &amp; </w:t>
            </w:r>
            <w:r>
              <w:rPr>
                <w:rFonts w:ascii="Arial Black" w:hAnsi="Arial Black"/>
                <w:sz w:val="24"/>
                <w:szCs w:val="24"/>
              </w:rPr>
              <w:t>S</w:t>
            </w:r>
            <w:r w:rsidR="00556D50">
              <w:rPr>
                <w:rFonts w:ascii="Arial Black" w:hAnsi="Arial Black"/>
                <w:sz w:val="24"/>
                <w:szCs w:val="24"/>
              </w:rPr>
              <w:t>crutiny</w:t>
            </w:r>
            <w:r>
              <w:rPr>
                <w:rFonts w:ascii="Arial Black" w:hAnsi="Arial Black"/>
                <w:sz w:val="24"/>
                <w:szCs w:val="24"/>
              </w:rPr>
              <w:t xml:space="preserve"> </w:t>
            </w:r>
            <w:r w:rsidR="00493862">
              <w:rPr>
                <w:rFonts w:ascii="Arial Black" w:hAnsi="Arial Black"/>
                <w:sz w:val="24"/>
                <w:szCs w:val="24"/>
              </w:rPr>
              <w:t>Committee (</w:t>
            </w:r>
            <w:r>
              <w:rPr>
                <w:rFonts w:ascii="Arial Black" w:hAnsi="Arial Black"/>
                <w:sz w:val="24"/>
                <w:szCs w:val="24"/>
              </w:rPr>
              <w:t>Place</w:t>
            </w:r>
            <w:r w:rsidR="00493862">
              <w:rPr>
                <w:rFonts w:ascii="Arial Black" w:hAnsi="Arial Black"/>
                <w:sz w:val="24"/>
                <w:szCs w:val="24"/>
              </w:rPr>
              <w:t>)</w:t>
            </w:r>
          </w:p>
          <w:p w14:paraId="1E174964" w14:textId="77777777" w:rsidR="004E0E92" w:rsidRPr="00BC2009" w:rsidRDefault="004E0E92" w:rsidP="002A102F">
            <w:pPr>
              <w:jc w:val="center"/>
              <w:rPr>
                <w:rFonts w:ascii="Arial Black" w:hAnsi="Arial Black"/>
                <w:sz w:val="24"/>
                <w:szCs w:val="24"/>
              </w:rPr>
            </w:pPr>
            <w:r w:rsidRPr="00BC2009">
              <w:rPr>
                <w:rFonts w:ascii="Arial Black" w:hAnsi="Arial Black" w:cs="Arial"/>
                <w:sz w:val="24"/>
                <w:szCs w:val="24"/>
              </w:rPr>
              <w:t>On</w:t>
            </w:r>
          </w:p>
          <w:p w14:paraId="7E673806" w14:textId="77777777" w:rsidR="004E0E92" w:rsidRPr="00BC2009" w:rsidRDefault="005827C2" w:rsidP="002A102F">
            <w:pPr>
              <w:jc w:val="center"/>
              <w:rPr>
                <w:rFonts w:ascii="Arial Black" w:hAnsi="Arial Black"/>
                <w:sz w:val="24"/>
                <w:szCs w:val="24"/>
              </w:rPr>
            </w:pPr>
            <w:r>
              <w:rPr>
                <w:rFonts w:ascii="Arial Black" w:hAnsi="Arial Black"/>
                <w:sz w:val="24"/>
                <w:szCs w:val="24"/>
              </w:rPr>
              <w:t>1 February 2022</w:t>
            </w:r>
          </w:p>
        </w:tc>
      </w:tr>
      <w:tr w:rsidR="004E0E92" w:rsidRPr="00BC2009" w14:paraId="2B108C37" w14:textId="77777777" w:rsidTr="00083108">
        <w:trPr>
          <w:gridAfter w:val="1"/>
          <w:wAfter w:w="14" w:type="dxa"/>
        </w:trPr>
        <w:tc>
          <w:tcPr>
            <w:tcW w:w="9228" w:type="dxa"/>
            <w:shd w:val="clear" w:color="auto" w:fill="auto"/>
          </w:tcPr>
          <w:p w14:paraId="385EE1FE" w14:textId="77777777" w:rsidR="004E0E92" w:rsidRPr="00BC2009" w:rsidRDefault="004E0E92" w:rsidP="002A102F">
            <w:pPr>
              <w:jc w:val="center"/>
              <w:rPr>
                <w:rFonts w:ascii="Arial Black" w:hAnsi="Arial Black"/>
                <w:sz w:val="24"/>
                <w:szCs w:val="24"/>
              </w:rPr>
            </w:pPr>
          </w:p>
        </w:tc>
      </w:tr>
      <w:tr w:rsidR="004E0E92" w:rsidRPr="00BC2009" w14:paraId="5ABB62E7" w14:textId="77777777" w:rsidTr="00083108">
        <w:tc>
          <w:tcPr>
            <w:tcW w:w="9242" w:type="dxa"/>
            <w:gridSpan w:val="2"/>
            <w:tcBorders>
              <w:top w:val="single" w:sz="24" w:space="0" w:color="auto"/>
              <w:bottom w:val="single" w:sz="24" w:space="0" w:color="auto"/>
            </w:tcBorders>
            <w:shd w:val="clear" w:color="auto" w:fill="auto"/>
          </w:tcPr>
          <w:p w14:paraId="34DFE3A3" w14:textId="77777777" w:rsidR="002A102F" w:rsidRDefault="002A102F" w:rsidP="002A102F">
            <w:pPr>
              <w:jc w:val="center"/>
              <w:rPr>
                <w:rFonts w:cs="Arial"/>
                <w:b/>
                <w:sz w:val="24"/>
                <w:szCs w:val="24"/>
              </w:rPr>
            </w:pPr>
          </w:p>
          <w:p w14:paraId="0C2CACE6" w14:textId="77777777" w:rsidR="004E0E92" w:rsidRDefault="00F045C2" w:rsidP="002A102F">
            <w:pPr>
              <w:jc w:val="center"/>
              <w:rPr>
                <w:rFonts w:cs="Arial"/>
                <w:b/>
                <w:sz w:val="24"/>
                <w:szCs w:val="24"/>
              </w:rPr>
            </w:pPr>
            <w:r>
              <w:rPr>
                <w:rFonts w:cs="Arial"/>
                <w:b/>
                <w:sz w:val="24"/>
                <w:szCs w:val="24"/>
              </w:rPr>
              <w:t>TOWN CENTRE</w:t>
            </w:r>
            <w:r w:rsidR="002A102F">
              <w:rPr>
                <w:rFonts w:cs="Arial"/>
                <w:b/>
                <w:sz w:val="24"/>
                <w:szCs w:val="24"/>
              </w:rPr>
              <w:t xml:space="preserve"> UPDATE</w:t>
            </w:r>
          </w:p>
          <w:p w14:paraId="28F1AE60" w14:textId="77777777" w:rsidR="002A102F" w:rsidRPr="00BC2009" w:rsidRDefault="002A102F" w:rsidP="002A102F">
            <w:pPr>
              <w:jc w:val="center"/>
              <w:rPr>
                <w:rFonts w:cs="Arial"/>
                <w:b/>
                <w:sz w:val="24"/>
                <w:szCs w:val="24"/>
              </w:rPr>
            </w:pPr>
          </w:p>
        </w:tc>
      </w:tr>
    </w:tbl>
    <w:p w14:paraId="61CE2370" w14:textId="77777777" w:rsidR="004E0E92" w:rsidRPr="00531CC4" w:rsidRDefault="004E0E92" w:rsidP="002A102F">
      <w:pPr>
        <w:jc w:val="left"/>
        <w:rPr>
          <w:b/>
          <w:sz w:val="24"/>
          <w:szCs w:val="24"/>
        </w:rPr>
      </w:pPr>
    </w:p>
    <w:p w14:paraId="3C3272A1" w14:textId="77777777" w:rsidR="004E0E92" w:rsidRPr="00531CC4" w:rsidRDefault="004E0E92" w:rsidP="002A102F">
      <w:pPr>
        <w:jc w:val="left"/>
        <w:rPr>
          <w:sz w:val="24"/>
          <w:szCs w:val="24"/>
        </w:rPr>
      </w:pPr>
      <w:r w:rsidRPr="00531CC4">
        <w:rPr>
          <w:b/>
          <w:sz w:val="24"/>
          <w:szCs w:val="24"/>
        </w:rPr>
        <w:t>1.</w:t>
      </w:r>
      <w:r w:rsidRPr="00531CC4">
        <w:rPr>
          <w:b/>
          <w:sz w:val="24"/>
          <w:szCs w:val="24"/>
        </w:rPr>
        <w:tab/>
        <w:t>SUMMARY</w:t>
      </w:r>
    </w:p>
    <w:p w14:paraId="76645663" w14:textId="77777777" w:rsidR="004E0E92" w:rsidRPr="00531CC4" w:rsidRDefault="004E0E92" w:rsidP="002A102F">
      <w:pPr>
        <w:jc w:val="left"/>
        <w:rPr>
          <w:sz w:val="24"/>
          <w:szCs w:val="24"/>
        </w:rPr>
      </w:pPr>
    </w:p>
    <w:p w14:paraId="0253143F" w14:textId="77777777" w:rsidR="00D05F41" w:rsidRPr="00C155C8" w:rsidRDefault="00C155C8" w:rsidP="00C155C8">
      <w:pPr>
        <w:pStyle w:val="ListParagraph"/>
        <w:numPr>
          <w:ilvl w:val="1"/>
          <w:numId w:val="31"/>
        </w:numPr>
        <w:jc w:val="left"/>
        <w:rPr>
          <w:sz w:val="24"/>
          <w:szCs w:val="24"/>
        </w:rPr>
      </w:pPr>
      <w:r>
        <w:rPr>
          <w:sz w:val="24"/>
          <w:szCs w:val="24"/>
        </w:rPr>
        <w:t xml:space="preserve">  </w:t>
      </w:r>
      <w:r w:rsidR="00D05F41" w:rsidRPr="00C155C8">
        <w:rPr>
          <w:sz w:val="24"/>
          <w:szCs w:val="24"/>
        </w:rPr>
        <w:t xml:space="preserve">This briefing paper gives Overview &amp; Scrutiny Committee (Place) an update </w:t>
      </w:r>
      <w:r>
        <w:rPr>
          <w:sz w:val="24"/>
          <w:szCs w:val="24"/>
        </w:rPr>
        <w:t xml:space="preserve">       </w:t>
      </w:r>
      <w:r>
        <w:rPr>
          <w:sz w:val="24"/>
          <w:szCs w:val="24"/>
        </w:rPr>
        <w:tab/>
      </w:r>
      <w:r w:rsidR="00D05F41" w:rsidRPr="00C155C8">
        <w:rPr>
          <w:sz w:val="24"/>
          <w:szCs w:val="24"/>
        </w:rPr>
        <w:t>on the services provided by Town Centre Operations.</w:t>
      </w:r>
    </w:p>
    <w:p w14:paraId="483C672A" w14:textId="77777777" w:rsidR="00D05F41" w:rsidRDefault="00D05F41" w:rsidP="00D05F41">
      <w:pPr>
        <w:tabs>
          <w:tab w:val="left" w:pos="426"/>
        </w:tabs>
        <w:ind w:left="567" w:hanging="567"/>
        <w:jc w:val="left"/>
        <w:rPr>
          <w:sz w:val="24"/>
          <w:szCs w:val="24"/>
        </w:rPr>
      </w:pPr>
    </w:p>
    <w:p w14:paraId="504E8B87" w14:textId="77777777" w:rsidR="004E0E92" w:rsidRDefault="004E0E92" w:rsidP="002A102F">
      <w:pPr>
        <w:ind w:left="720" w:hanging="720"/>
        <w:jc w:val="left"/>
        <w:rPr>
          <w:b/>
          <w:sz w:val="24"/>
          <w:szCs w:val="24"/>
        </w:rPr>
      </w:pPr>
      <w:r>
        <w:rPr>
          <w:b/>
          <w:sz w:val="24"/>
          <w:szCs w:val="24"/>
        </w:rPr>
        <w:t>2</w:t>
      </w:r>
      <w:r w:rsidR="00D05F41">
        <w:rPr>
          <w:b/>
          <w:sz w:val="24"/>
          <w:szCs w:val="24"/>
        </w:rPr>
        <w:t>.</w:t>
      </w:r>
      <w:r w:rsidR="00D05F41">
        <w:rPr>
          <w:b/>
          <w:sz w:val="24"/>
          <w:szCs w:val="24"/>
        </w:rPr>
        <w:tab/>
      </w:r>
      <w:r w:rsidRPr="00531CC4">
        <w:rPr>
          <w:b/>
          <w:sz w:val="24"/>
          <w:szCs w:val="24"/>
        </w:rPr>
        <w:t>BACKGROUND</w:t>
      </w:r>
    </w:p>
    <w:p w14:paraId="704B9FA5" w14:textId="77777777" w:rsidR="00D05F41" w:rsidRDefault="00D05F41" w:rsidP="002A102F">
      <w:pPr>
        <w:ind w:left="720" w:hanging="720"/>
        <w:jc w:val="left"/>
        <w:rPr>
          <w:i/>
          <w:sz w:val="24"/>
          <w:szCs w:val="24"/>
        </w:rPr>
      </w:pPr>
    </w:p>
    <w:p w14:paraId="20386279" w14:textId="77777777" w:rsidR="00D05F41" w:rsidRPr="00D05F41" w:rsidRDefault="00D05F41" w:rsidP="00D05F41">
      <w:pPr>
        <w:ind w:left="567" w:hanging="567"/>
        <w:jc w:val="left"/>
        <w:rPr>
          <w:rFonts w:cs="Arial"/>
          <w:sz w:val="24"/>
          <w:szCs w:val="24"/>
        </w:rPr>
      </w:pPr>
      <w:r w:rsidRPr="00D05F41">
        <w:rPr>
          <w:rFonts w:cs="Arial"/>
          <w:sz w:val="24"/>
          <w:szCs w:val="24"/>
        </w:rPr>
        <w:t>2.2</w:t>
      </w:r>
      <w:r w:rsidRPr="00D05F41">
        <w:rPr>
          <w:rFonts w:cs="Arial"/>
          <w:sz w:val="24"/>
          <w:szCs w:val="24"/>
        </w:rPr>
        <w:tab/>
      </w:r>
      <w:r w:rsidR="00C155C8">
        <w:rPr>
          <w:rFonts w:cs="Arial"/>
          <w:sz w:val="24"/>
          <w:szCs w:val="24"/>
        </w:rPr>
        <w:t xml:space="preserve">  </w:t>
      </w:r>
      <w:r w:rsidRPr="00D05F41">
        <w:rPr>
          <w:rFonts w:cs="Arial"/>
          <w:sz w:val="24"/>
          <w:szCs w:val="24"/>
        </w:rPr>
        <w:t xml:space="preserve">The areas in this paper are bullet-points for </w:t>
      </w:r>
      <w:r>
        <w:rPr>
          <w:rFonts w:cs="Arial"/>
          <w:sz w:val="24"/>
          <w:szCs w:val="24"/>
        </w:rPr>
        <w:t>Town Centre Operations.</w:t>
      </w:r>
    </w:p>
    <w:p w14:paraId="2E26743B" w14:textId="77777777" w:rsidR="004E0E92" w:rsidRPr="00EF37F2" w:rsidRDefault="004E0E92" w:rsidP="00D05F41">
      <w:pPr>
        <w:jc w:val="left"/>
        <w:rPr>
          <w:rFonts w:cs="Arial"/>
          <w:sz w:val="24"/>
          <w:szCs w:val="24"/>
        </w:rPr>
      </w:pPr>
      <w:r>
        <w:rPr>
          <w:sz w:val="24"/>
          <w:szCs w:val="24"/>
        </w:rPr>
        <w:tab/>
      </w:r>
    </w:p>
    <w:p w14:paraId="1445BEB9" w14:textId="77777777" w:rsidR="004E0E92" w:rsidRPr="00EF37F2" w:rsidRDefault="004E0E92" w:rsidP="002A102F">
      <w:pPr>
        <w:jc w:val="left"/>
        <w:rPr>
          <w:b/>
          <w:sz w:val="24"/>
          <w:szCs w:val="24"/>
        </w:rPr>
      </w:pPr>
      <w:r>
        <w:rPr>
          <w:b/>
          <w:sz w:val="24"/>
          <w:szCs w:val="24"/>
        </w:rPr>
        <w:t>3</w:t>
      </w:r>
      <w:r w:rsidR="0059767C">
        <w:rPr>
          <w:b/>
          <w:sz w:val="24"/>
          <w:szCs w:val="24"/>
        </w:rPr>
        <w:t>.</w:t>
      </w:r>
      <w:r w:rsidR="0059767C">
        <w:rPr>
          <w:b/>
          <w:sz w:val="24"/>
          <w:szCs w:val="24"/>
        </w:rPr>
        <w:tab/>
      </w:r>
      <w:r w:rsidR="0059767C" w:rsidRPr="003575C0">
        <w:rPr>
          <w:b/>
          <w:sz w:val="24"/>
          <w:szCs w:val="24"/>
        </w:rPr>
        <w:t>MARKETS</w:t>
      </w:r>
    </w:p>
    <w:p w14:paraId="52B27707" w14:textId="77777777" w:rsidR="004E0E92" w:rsidRDefault="004E0E92" w:rsidP="002A102F">
      <w:pPr>
        <w:jc w:val="left"/>
        <w:rPr>
          <w:sz w:val="24"/>
          <w:szCs w:val="24"/>
        </w:rPr>
      </w:pPr>
    </w:p>
    <w:p w14:paraId="238D2DBF" w14:textId="77777777" w:rsidR="00554616" w:rsidRDefault="004E0E92" w:rsidP="00554616">
      <w:pPr>
        <w:ind w:left="720" w:hanging="720"/>
        <w:jc w:val="left"/>
        <w:rPr>
          <w:sz w:val="24"/>
          <w:szCs w:val="24"/>
          <w:u w:val="single"/>
        </w:rPr>
      </w:pPr>
      <w:r>
        <w:rPr>
          <w:sz w:val="24"/>
          <w:szCs w:val="24"/>
        </w:rPr>
        <w:t>3.1</w:t>
      </w:r>
      <w:r>
        <w:rPr>
          <w:sz w:val="24"/>
          <w:szCs w:val="24"/>
        </w:rPr>
        <w:tab/>
      </w:r>
      <w:r w:rsidR="00554616">
        <w:rPr>
          <w:sz w:val="24"/>
          <w:szCs w:val="24"/>
          <w:u w:val="single"/>
        </w:rPr>
        <w:t>Market Income</w:t>
      </w:r>
    </w:p>
    <w:p w14:paraId="7A20C8EE" w14:textId="77777777" w:rsidR="00554616" w:rsidRDefault="00554616" w:rsidP="00554616">
      <w:pPr>
        <w:ind w:left="720" w:hanging="720"/>
        <w:jc w:val="left"/>
        <w:rPr>
          <w:sz w:val="24"/>
          <w:szCs w:val="24"/>
        </w:rPr>
      </w:pPr>
      <w:r>
        <w:rPr>
          <w:sz w:val="24"/>
          <w:szCs w:val="24"/>
        </w:rPr>
        <w:tab/>
      </w:r>
    </w:p>
    <w:p w14:paraId="56C95CC7" w14:textId="77777777" w:rsidR="00D43A34" w:rsidRDefault="00D43A34" w:rsidP="00D43A34">
      <w:pPr>
        <w:ind w:left="720" w:hanging="720"/>
        <w:jc w:val="left"/>
        <w:rPr>
          <w:rFonts w:cs="Arial"/>
          <w:sz w:val="24"/>
          <w:szCs w:val="24"/>
        </w:rPr>
      </w:pPr>
      <w:r>
        <w:rPr>
          <w:sz w:val="24"/>
          <w:szCs w:val="24"/>
        </w:rPr>
        <w:tab/>
      </w:r>
      <w:r>
        <w:rPr>
          <w:rFonts w:cs="Arial"/>
          <w:sz w:val="24"/>
          <w:szCs w:val="24"/>
        </w:rPr>
        <w:t xml:space="preserve">The income for markets is not comparable to the same period in 20/21 due to </w:t>
      </w:r>
      <w:r w:rsidR="00BC6624">
        <w:rPr>
          <w:rFonts w:cs="Arial"/>
          <w:sz w:val="24"/>
          <w:szCs w:val="24"/>
        </w:rPr>
        <w:t>Three Tier restrictions and introduction of Lockdown 2.</w:t>
      </w:r>
      <w:r>
        <w:rPr>
          <w:rFonts w:cs="Arial"/>
          <w:sz w:val="24"/>
          <w:szCs w:val="24"/>
        </w:rPr>
        <w:t>Therefore, to give an indication on recovery the income has been compared to the same period in 2020/21 and 2019/20.</w:t>
      </w:r>
    </w:p>
    <w:p w14:paraId="05F92420" w14:textId="77777777" w:rsidR="00D43A34" w:rsidRDefault="00D43A34" w:rsidP="00D43A34">
      <w:pPr>
        <w:ind w:left="720" w:hanging="720"/>
        <w:jc w:val="left"/>
        <w:rPr>
          <w:rFonts w:cs="Arial"/>
          <w:sz w:val="24"/>
          <w:szCs w:val="24"/>
        </w:rPr>
      </w:pPr>
    </w:p>
    <w:p w14:paraId="41EB8D55" w14:textId="77777777" w:rsidR="00D43A34" w:rsidRDefault="00D43A34" w:rsidP="00554616">
      <w:pPr>
        <w:ind w:left="720" w:hanging="720"/>
        <w:jc w:val="left"/>
        <w:rPr>
          <w:sz w:val="24"/>
          <w:szCs w:val="24"/>
        </w:rPr>
      </w:pPr>
    </w:p>
    <w:tbl>
      <w:tblPr>
        <w:tblStyle w:val="TableGrid"/>
        <w:tblW w:w="4961" w:type="dxa"/>
        <w:tblInd w:w="775" w:type="dxa"/>
        <w:tblLook w:val="04A0" w:firstRow="1" w:lastRow="0" w:firstColumn="1" w:lastColumn="0" w:noHBand="0" w:noVBand="1"/>
      </w:tblPr>
      <w:tblGrid>
        <w:gridCol w:w="1559"/>
        <w:gridCol w:w="1560"/>
        <w:gridCol w:w="1842"/>
      </w:tblGrid>
      <w:tr w:rsidR="00554616" w14:paraId="232D4B7F" w14:textId="77777777" w:rsidTr="00554616">
        <w:trPr>
          <w:trHeight w:val="315"/>
        </w:trPr>
        <w:tc>
          <w:tcPr>
            <w:tcW w:w="1559" w:type="dxa"/>
            <w:tcBorders>
              <w:top w:val="single" w:sz="4" w:space="0" w:color="auto"/>
              <w:left w:val="single" w:sz="4" w:space="0" w:color="auto"/>
              <w:bottom w:val="single" w:sz="4" w:space="0" w:color="auto"/>
              <w:right w:val="single" w:sz="4" w:space="0" w:color="auto"/>
            </w:tcBorders>
            <w:noWrap/>
            <w:hideMark/>
          </w:tcPr>
          <w:p w14:paraId="0499C814" w14:textId="77777777" w:rsidR="00554616" w:rsidRDefault="00554616" w:rsidP="00A2227E">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1A9D64B6" w14:textId="77777777" w:rsidR="00554616" w:rsidRDefault="005827C2" w:rsidP="00A2227E">
            <w:pPr>
              <w:jc w:val="center"/>
              <w:rPr>
                <w:rFonts w:ascii="Calibri" w:hAnsi="Calibri"/>
                <w:b/>
                <w:bCs/>
                <w:color w:val="000000"/>
                <w:lang w:eastAsia="en-US"/>
              </w:rPr>
            </w:pPr>
            <w:r>
              <w:rPr>
                <w:rFonts w:ascii="Calibri" w:hAnsi="Calibri"/>
                <w:b/>
                <w:bCs/>
                <w:color w:val="000000"/>
                <w:lang w:eastAsia="en-US"/>
              </w:rPr>
              <w:t>Oct - Dec</w:t>
            </w:r>
          </w:p>
        </w:tc>
      </w:tr>
      <w:tr w:rsidR="00554616" w14:paraId="1D691958" w14:textId="77777777" w:rsidTr="00554616">
        <w:trPr>
          <w:trHeight w:val="315"/>
        </w:trPr>
        <w:tc>
          <w:tcPr>
            <w:tcW w:w="1559" w:type="dxa"/>
            <w:tcBorders>
              <w:top w:val="single" w:sz="4" w:space="0" w:color="auto"/>
              <w:left w:val="single" w:sz="4" w:space="0" w:color="auto"/>
              <w:bottom w:val="single" w:sz="4" w:space="0" w:color="auto"/>
              <w:right w:val="single" w:sz="4" w:space="0" w:color="auto"/>
            </w:tcBorders>
            <w:noWrap/>
            <w:hideMark/>
          </w:tcPr>
          <w:p w14:paraId="1BB61584" w14:textId="77777777" w:rsidR="00554616" w:rsidRDefault="00554616" w:rsidP="00A2227E">
            <w:pPr>
              <w:jc w:val="center"/>
              <w:rPr>
                <w:rFonts w:ascii="Calibri" w:hAnsi="Calibri"/>
                <w:b/>
                <w:bCs/>
                <w:color w:val="000000"/>
                <w:lang w:eastAsia="en-US"/>
              </w:rPr>
            </w:pPr>
            <w:r>
              <w:rPr>
                <w:rFonts w:ascii="Calibri" w:hAnsi="Calibri"/>
                <w:b/>
                <w:bCs/>
                <w:color w:val="000000"/>
                <w:lang w:eastAsia="en-US"/>
              </w:rPr>
              <w:t>Year</w:t>
            </w:r>
          </w:p>
        </w:tc>
        <w:tc>
          <w:tcPr>
            <w:tcW w:w="1560" w:type="dxa"/>
            <w:tcBorders>
              <w:top w:val="single" w:sz="4" w:space="0" w:color="auto"/>
              <w:left w:val="single" w:sz="4" w:space="0" w:color="auto"/>
              <w:bottom w:val="single" w:sz="4" w:space="0" w:color="auto"/>
              <w:right w:val="single" w:sz="4" w:space="0" w:color="auto"/>
            </w:tcBorders>
            <w:noWrap/>
            <w:hideMark/>
          </w:tcPr>
          <w:p w14:paraId="33641C48" w14:textId="77777777" w:rsidR="00554616" w:rsidRDefault="00554616" w:rsidP="00A2227E">
            <w:pPr>
              <w:jc w:val="center"/>
              <w:rPr>
                <w:rFonts w:ascii="Calibri" w:hAnsi="Calibri"/>
                <w:b/>
                <w:bCs/>
                <w:color w:val="000000"/>
                <w:lang w:eastAsia="en-US"/>
              </w:rPr>
            </w:pPr>
            <w:r>
              <w:rPr>
                <w:rFonts w:ascii="Calibri" w:hAnsi="Calibri"/>
                <w:b/>
                <w:bCs/>
                <w:color w:val="000000"/>
                <w:lang w:eastAsia="en-US"/>
              </w:rPr>
              <w:t>Income</w:t>
            </w:r>
          </w:p>
        </w:tc>
        <w:tc>
          <w:tcPr>
            <w:tcW w:w="1842" w:type="dxa"/>
            <w:tcBorders>
              <w:top w:val="single" w:sz="4" w:space="0" w:color="auto"/>
              <w:left w:val="single" w:sz="4" w:space="0" w:color="auto"/>
              <w:bottom w:val="single" w:sz="4" w:space="0" w:color="auto"/>
              <w:right w:val="single" w:sz="4" w:space="0" w:color="auto"/>
            </w:tcBorders>
            <w:noWrap/>
            <w:hideMark/>
          </w:tcPr>
          <w:p w14:paraId="229DB9E5" w14:textId="77777777" w:rsidR="00B86F1E" w:rsidRDefault="00B86F1E" w:rsidP="00A2227E">
            <w:pPr>
              <w:jc w:val="center"/>
              <w:rPr>
                <w:rFonts w:ascii="Calibri" w:hAnsi="Calibri"/>
                <w:b/>
                <w:bCs/>
                <w:color w:val="000000"/>
                <w:lang w:eastAsia="en-US"/>
              </w:rPr>
            </w:pPr>
            <w:r>
              <w:rPr>
                <w:rFonts w:ascii="Calibri" w:hAnsi="Calibri"/>
                <w:b/>
                <w:bCs/>
                <w:color w:val="000000"/>
                <w:lang w:eastAsia="en-US"/>
              </w:rPr>
              <w:t>Year on Year</w:t>
            </w:r>
          </w:p>
          <w:p w14:paraId="17F14176" w14:textId="77777777" w:rsidR="00554616" w:rsidRDefault="00554616" w:rsidP="00A2227E">
            <w:pPr>
              <w:jc w:val="center"/>
              <w:rPr>
                <w:rFonts w:ascii="Calibri" w:hAnsi="Calibri"/>
                <w:b/>
                <w:bCs/>
                <w:color w:val="000000"/>
                <w:lang w:eastAsia="en-US"/>
              </w:rPr>
            </w:pPr>
            <w:r>
              <w:rPr>
                <w:rFonts w:ascii="Calibri" w:hAnsi="Calibri"/>
                <w:b/>
                <w:bCs/>
                <w:color w:val="000000"/>
                <w:lang w:eastAsia="en-US"/>
              </w:rPr>
              <w:t>% change</w:t>
            </w:r>
          </w:p>
        </w:tc>
      </w:tr>
      <w:tr w:rsidR="00554616" w14:paraId="34CD1A96" w14:textId="77777777" w:rsidTr="005827C2">
        <w:trPr>
          <w:trHeight w:val="315"/>
        </w:trPr>
        <w:tc>
          <w:tcPr>
            <w:tcW w:w="1559" w:type="dxa"/>
            <w:tcBorders>
              <w:top w:val="single" w:sz="4" w:space="0" w:color="auto"/>
              <w:left w:val="single" w:sz="4" w:space="0" w:color="auto"/>
              <w:bottom w:val="single" w:sz="4" w:space="0" w:color="auto"/>
              <w:right w:val="single" w:sz="4" w:space="0" w:color="auto"/>
            </w:tcBorders>
            <w:noWrap/>
            <w:hideMark/>
          </w:tcPr>
          <w:p w14:paraId="63FE17C3" w14:textId="77777777" w:rsidR="00554616" w:rsidRDefault="00554616" w:rsidP="00A2227E">
            <w:pPr>
              <w:jc w:val="center"/>
              <w:rPr>
                <w:rFonts w:ascii="Calibri" w:hAnsi="Calibri"/>
                <w:color w:val="000000"/>
                <w:lang w:eastAsia="en-US"/>
              </w:rPr>
            </w:pPr>
            <w:r>
              <w:rPr>
                <w:rFonts w:ascii="Calibri" w:hAnsi="Calibri"/>
                <w:color w:val="000000"/>
                <w:lang w:eastAsia="en-US"/>
              </w:rPr>
              <w:t>2019/20</w:t>
            </w:r>
          </w:p>
        </w:tc>
        <w:tc>
          <w:tcPr>
            <w:tcW w:w="1560" w:type="dxa"/>
            <w:tcBorders>
              <w:top w:val="single" w:sz="4" w:space="0" w:color="auto"/>
              <w:left w:val="single" w:sz="4" w:space="0" w:color="auto"/>
              <w:bottom w:val="single" w:sz="4" w:space="0" w:color="auto"/>
              <w:right w:val="single" w:sz="4" w:space="0" w:color="auto"/>
            </w:tcBorders>
            <w:noWrap/>
          </w:tcPr>
          <w:p w14:paraId="25E28908" w14:textId="77777777" w:rsidR="00554616" w:rsidRDefault="00BC6624" w:rsidP="00A2227E">
            <w:pPr>
              <w:jc w:val="center"/>
              <w:rPr>
                <w:rFonts w:ascii="Calibri" w:hAnsi="Calibri"/>
                <w:color w:val="000000"/>
                <w:lang w:eastAsia="en-US"/>
              </w:rPr>
            </w:pPr>
            <w:r>
              <w:rPr>
                <w:rFonts w:ascii="Calibri" w:hAnsi="Calibri"/>
                <w:color w:val="000000"/>
                <w:lang w:eastAsia="en-US"/>
              </w:rPr>
              <w:t>£37,651</w:t>
            </w:r>
          </w:p>
        </w:tc>
        <w:tc>
          <w:tcPr>
            <w:tcW w:w="1842" w:type="dxa"/>
            <w:tcBorders>
              <w:top w:val="single" w:sz="4" w:space="0" w:color="auto"/>
              <w:left w:val="single" w:sz="4" w:space="0" w:color="auto"/>
              <w:bottom w:val="single" w:sz="4" w:space="0" w:color="auto"/>
              <w:right w:val="single" w:sz="4" w:space="0" w:color="auto"/>
            </w:tcBorders>
            <w:noWrap/>
          </w:tcPr>
          <w:p w14:paraId="7EAFAEAD" w14:textId="77777777" w:rsidR="00554616" w:rsidRDefault="00BC6624" w:rsidP="00A2227E">
            <w:pPr>
              <w:jc w:val="center"/>
              <w:rPr>
                <w:rFonts w:ascii="Calibri" w:hAnsi="Calibri"/>
                <w:color w:val="000000"/>
                <w:lang w:eastAsia="en-US"/>
              </w:rPr>
            </w:pPr>
            <w:r>
              <w:rPr>
                <w:rFonts w:ascii="Calibri" w:hAnsi="Calibri"/>
                <w:color w:val="000000"/>
                <w:lang w:eastAsia="en-US"/>
              </w:rPr>
              <w:t>N/A</w:t>
            </w:r>
          </w:p>
        </w:tc>
      </w:tr>
      <w:tr w:rsidR="00554616" w14:paraId="7EA1B717" w14:textId="77777777" w:rsidTr="00554616">
        <w:trPr>
          <w:trHeight w:val="315"/>
        </w:trPr>
        <w:tc>
          <w:tcPr>
            <w:tcW w:w="1559" w:type="dxa"/>
            <w:tcBorders>
              <w:top w:val="single" w:sz="4" w:space="0" w:color="auto"/>
              <w:left w:val="single" w:sz="4" w:space="0" w:color="auto"/>
              <w:bottom w:val="single" w:sz="4" w:space="0" w:color="auto"/>
              <w:right w:val="single" w:sz="4" w:space="0" w:color="auto"/>
            </w:tcBorders>
            <w:noWrap/>
          </w:tcPr>
          <w:p w14:paraId="3B81AA29" w14:textId="77777777" w:rsidR="00554616" w:rsidRDefault="00D43A34" w:rsidP="00A2227E">
            <w:pPr>
              <w:jc w:val="center"/>
              <w:rPr>
                <w:rFonts w:ascii="Calibri" w:hAnsi="Calibri"/>
                <w:color w:val="000000"/>
                <w:lang w:eastAsia="en-US"/>
              </w:rPr>
            </w:pPr>
            <w:r>
              <w:rPr>
                <w:rFonts w:ascii="Calibri" w:hAnsi="Calibri"/>
                <w:color w:val="000000"/>
                <w:lang w:eastAsia="en-US"/>
              </w:rPr>
              <w:t>2020/21</w:t>
            </w:r>
          </w:p>
        </w:tc>
        <w:tc>
          <w:tcPr>
            <w:tcW w:w="1560" w:type="dxa"/>
            <w:tcBorders>
              <w:top w:val="single" w:sz="4" w:space="0" w:color="auto"/>
              <w:left w:val="single" w:sz="4" w:space="0" w:color="auto"/>
              <w:bottom w:val="single" w:sz="4" w:space="0" w:color="auto"/>
              <w:right w:val="single" w:sz="4" w:space="0" w:color="auto"/>
            </w:tcBorders>
            <w:noWrap/>
          </w:tcPr>
          <w:p w14:paraId="7869AD2D" w14:textId="77777777" w:rsidR="00554616" w:rsidRDefault="00BC6624" w:rsidP="00A2227E">
            <w:pPr>
              <w:jc w:val="center"/>
              <w:rPr>
                <w:rFonts w:ascii="Calibri" w:hAnsi="Calibri"/>
                <w:color w:val="000000"/>
                <w:lang w:eastAsia="en-US"/>
              </w:rPr>
            </w:pPr>
            <w:r>
              <w:rPr>
                <w:rFonts w:ascii="Calibri" w:hAnsi="Calibri"/>
                <w:color w:val="000000"/>
                <w:lang w:eastAsia="en-US"/>
              </w:rPr>
              <w:t>£14,377</w:t>
            </w:r>
          </w:p>
        </w:tc>
        <w:tc>
          <w:tcPr>
            <w:tcW w:w="1842" w:type="dxa"/>
            <w:tcBorders>
              <w:top w:val="single" w:sz="4" w:space="0" w:color="auto"/>
              <w:left w:val="single" w:sz="4" w:space="0" w:color="auto"/>
              <w:bottom w:val="single" w:sz="4" w:space="0" w:color="auto"/>
              <w:right w:val="single" w:sz="4" w:space="0" w:color="auto"/>
            </w:tcBorders>
            <w:noWrap/>
          </w:tcPr>
          <w:p w14:paraId="09257FBA" w14:textId="77777777" w:rsidR="00554616" w:rsidRDefault="00BC6624" w:rsidP="00A2227E">
            <w:pPr>
              <w:jc w:val="center"/>
              <w:rPr>
                <w:rFonts w:ascii="Calibri" w:hAnsi="Calibri"/>
                <w:color w:val="000000"/>
                <w:lang w:eastAsia="en-US"/>
              </w:rPr>
            </w:pPr>
            <w:r>
              <w:rPr>
                <w:rFonts w:ascii="Calibri" w:hAnsi="Calibri"/>
                <w:color w:val="000000"/>
                <w:lang w:eastAsia="en-US"/>
              </w:rPr>
              <w:t>-61%</w:t>
            </w:r>
          </w:p>
        </w:tc>
      </w:tr>
      <w:tr w:rsidR="00554616" w14:paraId="56E489A9" w14:textId="77777777" w:rsidTr="005827C2">
        <w:trPr>
          <w:trHeight w:val="315"/>
        </w:trPr>
        <w:tc>
          <w:tcPr>
            <w:tcW w:w="1559" w:type="dxa"/>
            <w:tcBorders>
              <w:top w:val="single" w:sz="4" w:space="0" w:color="auto"/>
              <w:left w:val="single" w:sz="4" w:space="0" w:color="auto"/>
              <w:bottom w:val="single" w:sz="4" w:space="0" w:color="auto"/>
              <w:right w:val="single" w:sz="4" w:space="0" w:color="auto"/>
            </w:tcBorders>
            <w:noWrap/>
            <w:hideMark/>
          </w:tcPr>
          <w:p w14:paraId="1CF9FA39" w14:textId="77777777" w:rsidR="00554616" w:rsidRDefault="00D43A34" w:rsidP="00D43A34">
            <w:pPr>
              <w:jc w:val="center"/>
              <w:rPr>
                <w:rFonts w:ascii="Calibri" w:hAnsi="Calibri"/>
                <w:color w:val="000000"/>
                <w:lang w:eastAsia="en-US"/>
              </w:rPr>
            </w:pPr>
            <w:r>
              <w:rPr>
                <w:rFonts w:ascii="Calibri" w:hAnsi="Calibri"/>
                <w:color w:val="000000"/>
                <w:lang w:eastAsia="en-US"/>
              </w:rPr>
              <w:t>2021</w:t>
            </w:r>
            <w:r w:rsidR="00554616">
              <w:rPr>
                <w:rFonts w:ascii="Calibri" w:hAnsi="Calibri"/>
                <w:color w:val="000000"/>
                <w:lang w:eastAsia="en-US"/>
              </w:rPr>
              <w:t>/2</w:t>
            </w:r>
            <w:r>
              <w:rPr>
                <w:rFonts w:ascii="Calibri" w:hAnsi="Calibri"/>
                <w:color w:val="000000"/>
                <w:lang w:eastAsia="en-US"/>
              </w:rPr>
              <w:t>2</w:t>
            </w:r>
          </w:p>
        </w:tc>
        <w:tc>
          <w:tcPr>
            <w:tcW w:w="1560" w:type="dxa"/>
            <w:tcBorders>
              <w:top w:val="single" w:sz="4" w:space="0" w:color="auto"/>
              <w:left w:val="single" w:sz="4" w:space="0" w:color="auto"/>
              <w:bottom w:val="single" w:sz="4" w:space="0" w:color="auto"/>
              <w:right w:val="single" w:sz="4" w:space="0" w:color="auto"/>
            </w:tcBorders>
            <w:noWrap/>
          </w:tcPr>
          <w:p w14:paraId="3D0122C4" w14:textId="77777777" w:rsidR="00554616" w:rsidRDefault="00BC6624" w:rsidP="00A2227E">
            <w:pPr>
              <w:jc w:val="center"/>
              <w:rPr>
                <w:rFonts w:ascii="Calibri" w:hAnsi="Calibri"/>
                <w:color w:val="000000"/>
                <w:lang w:eastAsia="en-US"/>
              </w:rPr>
            </w:pPr>
            <w:r>
              <w:rPr>
                <w:rFonts w:ascii="Calibri" w:hAnsi="Calibri"/>
                <w:color w:val="000000"/>
                <w:lang w:eastAsia="en-US"/>
              </w:rPr>
              <w:t>£20,942</w:t>
            </w:r>
          </w:p>
        </w:tc>
        <w:tc>
          <w:tcPr>
            <w:tcW w:w="1842" w:type="dxa"/>
            <w:tcBorders>
              <w:top w:val="single" w:sz="4" w:space="0" w:color="auto"/>
              <w:left w:val="single" w:sz="4" w:space="0" w:color="auto"/>
              <w:bottom w:val="single" w:sz="4" w:space="0" w:color="auto"/>
              <w:right w:val="single" w:sz="4" w:space="0" w:color="auto"/>
            </w:tcBorders>
            <w:noWrap/>
          </w:tcPr>
          <w:p w14:paraId="6F9F8CAC" w14:textId="77777777" w:rsidR="00554616" w:rsidRDefault="00B86F1E" w:rsidP="00A2227E">
            <w:pPr>
              <w:jc w:val="center"/>
              <w:rPr>
                <w:rFonts w:ascii="Calibri" w:hAnsi="Calibri"/>
                <w:color w:val="000000"/>
                <w:lang w:eastAsia="en-US"/>
              </w:rPr>
            </w:pPr>
            <w:r>
              <w:rPr>
                <w:rFonts w:ascii="Calibri" w:hAnsi="Calibri"/>
                <w:color w:val="000000"/>
                <w:lang w:eastAsia="en-US"/>
              </w:rPr>
              <w:t>+</w:t>
            </w:r>
            <w:r w:rsidR="00BC6624">
              <w:rPr>
                <w:rFonts w:ascii="Calibri" w:hAnsi="Calibri"/>
                <w:color w:val="000000"/>
                <w:lang w:eastAsia="en-US"/>
              </w:rPr>
              <w:t>46%</w:t>
            </w:r>
          </w:p>
        </w:tc>
      </w:tr>
    </w:tbl>
    <w:p w14:paraId="1881F6E2" w14:textId="77777777" w:rsidR="009B4256" w:rsidRDefault="005F3310" w:rsidP="00D43A34">
      <w:pPr>
        <w:ind w:left="720" w:hanging="720"/>
        <w:jc w:val="left"/>
        <w:rPr>
          <w:sz w:val="24"/>
          <w:szCs w:val="24"/>
        </w:rPr>
      </w:pPr>
      <w:r>
        <w:rPr>
          <w:sz w:val="24"/>
          <w:szCs w:val="24"/>
        </w:rPr>
        <w:tab/>
      </w:r>
    </w:p>
    <w:p w14:paraId="4CE8F173" w14:textId="77777777" w:rsidR="001F3FE1" w:rsidRDefault="00265501" w:rsidP="00BC6624">
      <w:pPr>
        <w:ind w:left="720" w:hanging="720"/>
        <w:jc w:val="left"/>
        <w:rPr>
          <w:sz w:val="24"/>
          <w:szCs w:val="24"/>
        </w:rPr>
      </w:pPr>
      <w:r>
        <w:rPr>
          <w:sz w:val="24"/>
          <w:szCs w:val="24"/>
        </w:rPr>
        <w:tab/>
      </w:r>
      <w:r w:rsidR="00BC6624">
        <w:rPr>
          <w:sz w:val="24"/>
          <w:szCs w:val="24"/>
        </w:rPr>
        <w:t>As you can see whilst income has increase</w:t>
      </w:r>
      <w:r w:rsidR="00B86F1E">
        <w:rPr>
          <w:sz w:val="24"/>
          <w:szCs w:val="24"/>
        </w:rPr>
        <w:t>d</w:t>
      </w:r>
      <w:r w:rsidR="00BC6624">
        <w:rPr>
          <w:sz w:val="24"/>
          <w:szCs w:val="24"/>
        </w:rPr>
        <w:t xml:space="preserve"> by 46% on the same period in 20/21</w:t>
      </w:r>
      <w:r w:rsidR="00B86F1E">
        <w:rPr>
          <w:sz w:val="24"/>
          <w:szCs w:val="24"/>
        </w:rPr>
        <w:t>,</w:t>
      </w:r>
      <w:r w:rsidR="00BC6624">
        <w:rPr>
          <w:sz w:val="24"/>
          <w:szCs w:val="24"/>
        </w:rPr>
        <w:t xml:space="preserve"> the </w:t>
      </w:r>
      <w:r w:rsidR="00B86F1E">
        <w:rPr>
          <w:sz w:val="24"/>
          <w:szCs w:val="24"/>
        </w:rPr>
        <w:t xml:space="preserve">21/22 </w:t>
      </w:r>
      <w:r w:rsidR="00BC6624">
        <w:rPr>
          <w:sz w:val="24"/>
          <w:szCs w:val="24"/>
        </w:rPr>
        <w:t>income is</w:t>
      </w:r>
      <w:r w:rsidR="00B86F1E">
        <w:rPr>
          <w:sz w:val="24"/>
          <w:szCs w:val="24"/>
        </w:rPr>
        <w:t xml:space="preserve"> still</w:t>
      </w:r>
      <w:r w:rsidR="00BC6624">
        <w:rPr>
          <w:sz w:val="24"/>
          <w:szCs w:val="24"/>
        </w:rPr>
        <w:t xml:space="preserve"> down by 44% when compared to pre-Covid rates in 19/20.</w:t>
      </w:r>
    </w:p>
    <w:p w14:paraId="1F83AF35" w14:textId="77777777" w:rsidR="00D43A34" w:rsidRDefault="00D43A34" w:rsidP="00743F93">
      <w:pPr>
        <w:ind w:left="720" w:hanging="720"/>
        <w:jc w:val="left"/>
        <w:rPr>
          <w:sz w:val="24"/>
          <w:szCs w:val="24"/>
        </w:rPr>
      </w:pPr>
    </w:p>
    <w:p w14:paraId="19E54359" w14:textId="77777777" w:rsidR="00D43A34" w:rsidRDefault="00D43A34" w:rsidP="00743F93">
      <w:pPr>
        <w:ind w:left="720" w:hanging="720"/>
        <w:jc w:val="left"/>
        <w:rPr>
          <w:sz w:val="24"/>
          <w:szCs w:val="24"/>
        </w:rPr>
      </w:pPr>
      <w:r>
        <w:rPr>
          <w:sz w:val="24"/>
          <w:szCs w:val="24"/>
        </w:rPr>
        <w:tab/>
      </w:r>
      <w:r w:rsidR="00960027">
        <w:rPr>
          <w:sz w:val="24"/>
          <w:szCs w:val="24"/>
        </w:rPr>
        <w:t xml:space="preserve">A marketing plan is currently being finalised to advertise for new traders, with some adverts already being circulated to promote </w:t>
      </w:r>
      <w:r w:rsidR="00B86F1E">
        <w:rPr>
          <w:sz w:val="24"/>
          <w:szCs w:val="24"/>
        </w:rPr>
        <w:t>‘</w:t>
      </w:r>
      <w:r w:rsidR="00960027">
        <w:rPr>
          <w:sz w:val="24"/>
          <w:szCs w:val="24"/>
        </w:rPr>
        <w:t>Kipper Season</w:t>
      </w:r>
      <w:r w:rsidR="00B86F1E">
        <w:rPr>
          <w:sz w:val="24"/>
          <w:szCs w:val="24"/>
        </w:rPr>
        <w:t>’</w:t>
      </w:r>
      <w:r w:rsidR="00960027">
        <w:rPr>
          <w:sz w:val="24"/>
          <w:szCs w:val="24"/>
        </w:rPr>
        <w:t xml:space="preserve"> offers.</w:t>
      </w:r>
    </w:p>
    <w:p w14:paraId="0B555E90" w14:textId="77777777" w:rsidR="00055BFB" w:rsidRDefault="00743F93" w:rsidP="001F3FE1">
      <w:pPr>
        <w:ind w:left="720" w:hanging="720"/>
        <w:jc w:val="left"/>
        <w:rPr>
          <w:sz w:val="24"/>
          <w:szCs w:val="24"/>
        </w:rPr>
      </w:pPr>
      <w:r>
        <w:rPr>
          <w:sz w:val="24"/>
          <w:szCs w:val="24"/>
        </w:rPr>
        <w:tab/>
      </w:r>
    </w:p>
    <w:p w14:paraId="65197AC0" w14:textId="77777777" w:rsidR="004E0E92" w:rsidRPr="00DB53E5" w:rsidRDefault="004E0E92" w:rsidP="00055BFB">
      <w:pPr>
        <w:ind w:left="720" w:hanging="720"/>
        <w:jc w:val="left"/>
        <w:rPr>
          <w:sz w:val="24"/>
          <w:szCs w:val="24"/>
        </w:rPr>
      </w:pPr>
      <w:r>
        <w:rPr>
          <w:rFonts w:cs="Arial"/>
          <w:b/>
          <w:sz w:val="24"/>
          <w:szCs w:val="24"/>
        </w:rPr>
        <w:t>4.</w:t>
      </w:r>
      <w:r w:rsidRPr="001B4765">
        <w:rPr>
          <w:rFonts w:cs="Arial"/>
          <w:b/>
          <w:sz w:val="24"/>
          <w:szCs w:val="24"/>
        </w:rPr>
        <w:t xml:space="preserve"> </w:t>
      </w:r>
      <w:r w:rsidRPr="001B4765">
        <w:rPr>
          <w:rFonts w:cs="Arial"/>
          <w:b/>
          <w:sz w:val="24"/>
          <w:szCs w:val="24"/>
        </w:rPr>
        <w:tab/>
      </w:r>
      <w:r w:rsidR="0059767C">
        <w:rPr>
          <w:rFonts w:cs="Arial"/>
          <w:b/>
          <w:sz w:val="24"/>
          <w:szCs w:val="24"/>
        </w:rPr>
        <w:t>CAR PARKS</w:t>
      </w:r>
    </w:p>
    <w:p w14:paraId="1D86F9AF" w14:textId="77777777" w:rsidR="00FC3A14" w:rsidRPr="00C046A3" w:rsidRDefault="00FC3A14" w:rsidP="002A102F">
      <w:pPr>
        <w:tabs>
          <w:tab w:val="left" w:pos="720"/>
        </w:tabs>
        <w:ind w:left="720" w:hanging="720"/>
        <w:jc w:val="left"/>
        <w:rPr>
          <w:sz w:val="24"/>
          <w:szCs w:val="24"/>
        </w:rPr>
      </w:pPr>
    </w:p>
    <w:p w14:paraId="5E25718F" w14:textId="77777777" w:rsidR="0059767C" w:rsidRDefault="004E0E92" w:rsidP="0059767C">
      <w:pPr>
        <w:ind w:left="720" w:hanging="720"/>
        <w:jc w:val="left"/>
        <w:rPr>
          <w:rFonts w:cs="Arial"/>
          <w:sz w:val="24"/>
          <w:szCs w:val="24"/>
          <w:u w:val="single"/>
        </w:rPr>
      </w:pPr>
      <w:r>
        <w:rPr>
          <w:rFonts w:cs="Arial"/>
          <w:sz w:val="24"/>
          <w:szCs w:val="24"/>
        </w:rPr>
        <w:t>4.1</w:t>
      </w:r>
      <w:r w:rsidRPr="00C046A3">
        <w:rPr>
          <w:rFonts w:cs="Arial"/>
          <w:sz w:val="24"/>
          <w:szCs w:val="24"/>
        </w:rPr>
        <w:tab/>
      </w:r>
      <w:r w:rsidR="004A2D33">
        <w:rPr>
          <w:rFonts w:cs="Arial"/>
          <w:sz w:val="24"/>
          <w:szCs w:val="24"/>
          <w:u w:val="single"/>
        </w:rPr>
        <w:t>Car Park Income</w:t>
      </w:r>
    </w:p>
    <w:p w14:paraId="5D82639F" w14:textId="77777777" w:rsidR="00E013E2" w:rsidRDefault="00E013E2" w:rsidP="0059767C">
      <w:pPr>
        <w:ind w:left="720" w:hanging="720"/>
        <w:jc w:val="left"/>
        <w:rPr>
          <w:rFonts w:cs="Arial"/>
          <w:sz w:val="24"/>
          <w:szCs w:val="24"/>
          <w:u w:val="single"/>
        </w:rPr>
      </w:pPr>
    </w:p>
    <w:p w14:paraId="6E34C172" w14:textId="77777777" w:rsidR="00E013E2" w:rsidRPr="00E013E2" w:rsidRDefault="00E013E2" w:rsidP="0059767C">
      <w:pPr>
        <w:ind w:left="720" w:hanging="720"/>
        <w:jc w:val="left"/>
        <w:rPr>
          <w:rFonts w:cs="Arial"/>
          <w:sz w:val="24"/>
          <w:szCs w:val="24"/>
        </w:rPr>
      </w:pPr>
      <w:r>
        <w:rPr>
          <w:rFonts w:cs="Arial"/>
          <w:sz w:val="24"/>
          <w:szCs w:val="24"/>
        </w:rPr>
        <w:tab/>
        <w:t xml:space="preserve">The </w:t>
      </w:r>
      <w:r w:rsidR="00EC2764">
        <w:rPr>
          <w:rFonts w:cs="Arial"/>
          <w:sz w:val="24"/>
          <w:szCs w:val="24"/>
        </w:rPr>
        <w:t>income for car parking is not</w:t>
      </w:r>
      <w:r>
        <w:rPr>
          <w:rFonts w:cs="Arial"/>
          <w:sz w:val="24"/>
          <w:szCs w:val="24"/>
        </w:rPr>
        <w:t xml:space="preserve"> compar</w:t>
      </w:r>
      <w:r w:rsidR="00EC2764">
        <w:rPr>
          <w:rFonts w:cs="Arial"/>
          <w:sz w:val="24"/>
          <w:szCs w:val="24"/>
        </w:rPr>
        <w:t>able</w:t>
      </w:r>
      <w:r>
        <w:rPr>
          <w:rFonts w:cs="Arial"/>
          <w:sz w:val="24"/>
          <w:szCs w:val="24"/>
        </w:rPr>
        <w:t xml:space="preserve"> to the same per</w:t>
      </w:r>
      <w:r w:rsidR="001520C5">
        <w:rPr>
          <w:rFonts w:cs="Arial"/>
          <w:sz w:val="24"/>
          <w:szCs w:val="24"/>
        </w:rPr>
        <w:t xml:space="preserve">iod in 20/21 due </w:t>
      </w:r>
      <w:r w:rsidR="008F3C2C">
        <w:rPr>
          <w:rFonts w:cs="Arial"/>
          <w:sz w:val="24"/>
          <w:szCs w:val="24"/>
        </w:rPr>
        <w:t>to</w:t>
      </w:r>
      <w:r w:rsidR="00815C18">
        <w:rPr>
          <w:rFonts w:cs="Arial"/>
          <w:sz w:val="24"/>
          <w:szCs w:val="24"/>
        </w:rPr>
        <w:t xml:space="preserve"> half price charges form the 1</w:t>
      </w:r>
      <w:r w:rsidR="00815C18" w:rsidRPr="00815C18">
        <w:rPr>
          <w:rFonts w:cs="Arial"/>
          <w:sz w:val="24"/>
          <w:szCs w:val="24"/>
          <w:vertAlign w:val="superscript"/>
        </w:rPr>
        <w:t>st</w:t>
      </w:r>
      <w:r w:rsidR="00815C18">
        <w:rPr>
          <w:rFonts w:cs="Arial"/>
          <w:sz w:val="24"/>
          <w:szCs w:val="24"/>
        </w:rPr>
        <w:t xml:space="preserve"> September</w:t>
      </w:r>
      <w:r w:rsidR="006B560D">
        <w:rPr>
          <w:rFonts w:cs="Arial"/>
          <w:sz w:val="24"/>
          <w:szCs w:val="24"/>
        </w:rPr>
        <w:t xml:space="preserve"> to 31</w:t>
      </w:r>
      <w:r w:rsidR="006B560D" w:rsidRPr="006B560D">
        <w:rPr>
          <w:rFonts w:cs="Arial"/>
          <w:sz w:val="24"/>
          <w:szCs w:val="24"/>
          <w:vertAlign w:val="superscript"/>
        </w:rPr>
        <w:t>st</w:t>
      </w:r>
      <w:r w:rsidR="006B560D">
        <w:rPr>
          <w:rFonts w:cs="Arial"/>
          <w:sz w:val="24"/>
          <w:szCs w:val="24"/>
        </w:rPr>
        <w:t xml:space="preserve"> December</w:t>
      </w:r>
      <w:r w:rsidR="00815C18">
        <w:rPr>
          <w:rFonts w:cs="Arial"/>
          <w:sz w:val="24"/>
          <w:szCs w:val="24"/>
        </w:rPr>
        <w:t xml:space="preserve">. </w:t>
      </w:r>
      <w:r>
        <w:rPr>
          <w:rFonts w:cs="Arial"/>
          <w:sz w:val="24"/>
          <w:szCs w:val="24"/>
        </w:rPr>
        <w:t>Therefore, to give an indication on recovery the income has been compared to the same period in 2019/20.</w:t>
      </w:r>
    </w:p>
    <w:p w14:paraId="78EE27D3" w14:textId="77777777" w:rsidR="004A2D33" w:rsidRPr="004A2D33" w:rsidRDefault="004A2D33" w:rsidP="0059767C">
      <w:pPr>
        <w:ind w:left="720" w:hanging="720"/>
        <w:jc w:val="left"/>
        <w:rPr>
          <w:rFonts w:cs="Arial"/>
          <w:sz w:val="24"/>
          <w:szCs w:val="24"/>
        </w:rPr>
      </w:pPr>
      <w:r>
        <w:rPr>
          <w:rFonts w:cs="Arial"/>
          <w:sz w:val="24"/>
          <w:szCs w:val="24"/>
        </w:rPr>
        <w:lastRenderedPageBreak/>
        <w:tab/>
      </w:r>
    </w:p>
    <w:tbl>
      <w:tblPr>
        <w:tblStyle w:val="TableGrid"/>
        <w:tblW w:w="4961" w:type="dxa"/>
        <w:tblInd w:w="775" w:type="dxa"/>
        <w:tblLook w:val="04A0" w:firstRow="1" w:lastRow="0" w:firstColumn="1" w:lastColumn="0" w:noHBand="0" w:noVBand="1"/>
      </w:tblPr>
      <w:tblGrid>
        <w:gridCol w:w="1559"/>
        <w:gridCol w:w="1560"/>
        <w:gridCol w:w="1842"/>
      </w:tblGrid>
      <w:tr w:rsidR="004A2D33" w:rsidRPr="009B4256" w14:paraId="7DF5D53F" w14:textId="77777777" w:rsidTr="007937CF">
        <w:trPr>
          <w:trHeight w:val="315"/>
        </w:trPr>
        <w:tc>
          <w:tcPr>
            <w:tcW w:w="1559" w:type="dxa"/>
            <w:noWrap/>
            <w:hideMark/>
          </w:tcPr>
          <w:p w14:paraId="637ABBC4" w14:textId="77777777" w:rsidR="004A2D33" w:rsidRPr="009B4256" w:rsidRDefault="004A2D33" w:rsidP="007937CF">
            <w:pPr>
              <w:jc w:val="left"/>
              <w:rPr>
                <w:rFonts w:ascii="Calibri" w:hAnsi="Calibri"/>
                <w:color w:val="000000"/>
              </w:rPr>
            </w:pPr>
          </w:p>
        </w:tc>
        <w:tc>
          <w:tcPr>
            <w:tcW w:w="3402" w:type="dxa"/>
            <w:gridSpan w:val="2"/>
            <w:noWrap/>
            <w:hideMark/>
          </w:tcPr>
          <w:p w14:paraId="7682409E" w14:textId="77777777" w:rsidR="004A2D33" w:rsidRPr="009B4256" w:rsidRDefault="005827C2" w:rsidP="007937CF">
            <w:pPr>
              <w:jc w:val="center"/>
              <w:rPr>
                <w:rFonts w:ascii="Calibri" w:hAnsi="Calibri"/>
                <w:b/>
                <w:bCs/>
                <w:color w:val="000000"/>
              </w:rPr>
            </w:pPr>
            <w:r>
              <w:rPr>
                <w:rFonts w:ascii="Calibri" w:hAnsi="Calibri"/>
                <w:b/>
                <w:bCs/>
                <w:color w:val="000000"/>
              </w:rPr>
              <w:t>Oct - Dec</w:t>
            </w:r>
          </w:p>
        </w:tc>
      </w:tr>
      <w:tr w:rsidR="004A2D33" w:rsidRPr="009B4256" w14:paraId="53ED12EC" w14:textId="77777777" w:rsidTr="007937CF">
        <w:trPr>
          <w:trHeight w:val="315"/>
        </w:trPr>
        <w:tc>
          <w:tcPr>
            <w:tcW w:w="1559" w:type="dxa"/>
            <w:noWrap/>
            <w:hideMark/>
          </w:tcPr>
          <w:p w14:paraId="5B02C8CC" w14:textId="77777777" w:rsidR="004A2D33" w:rsidRPr="009B4256" w:rsidRDefault="004A2D33" w:rsidP="007937CF">
            <w:pPr>
              <w:jc w:val="center"/>
              <w:rPr>
                <w:rFonts w:ascii="Calibri" w:hAnsi="Calibri"/>
                <w:b/>
                <w:bCs/>
                <w:color w:val="000000"/>
              </w:rPr>
            </w:pPr>
            <w:r w:rsidRPr="009B4256">
              <w:rPr>
                <w:rFonts w:ascii="Calibri" w:hAnsi="Calibri"/>
                <w:b/>
                <w:bCs/>
                <w:color w:val="000000"/>
              </w:rPr>
              <w:t>Year</w:t>
            </w:r>
          </w:p>
        </w:tc>
        <w:tc>
          <w:tcPr>
            <w:tcW w:w="1560" w:type="dxa"/>
            <w:noWrap/>
            <w:hideMark/>
          </w:tcPr>
          <w:p w14:paraId="14DE1E24" w14:textId="77777777" w:rsidR="004A2D33" w:rsidRPr="009B4256" w:rsidRDefault="004A2D33" w:rsidP="007937CF">
            <w:pPr>
              <w:jc w:val="center"/>
              <w:rPr>
                <w:rFonts w:ascii="Calibri" w:hAnsi="Calibri"/>
                <w:b/>
                <w:bCs/>
                <w:color w:val="000000"/>
              </w:rPr>
            </w:pPr>
            <w:r w:rsidRPr="009B4256">
              <w:rPr>
                <w:rFonts w:ascii="Calibri" w:hAnsi="Calibri"/>
                <w:b/>
                <w:bCs/>
                <w:color w:val="000000"/>
              </w:rPr>
              <w:t>Income</w:t>
            </w:r>
          </w:p>
        </w:tc>
        <w:tc>
          <w:tcPr>
            <w:tcW w:w="1842" w:type="dxa"/>
            <w:noWrap/>
            <w:hideMark/>
          </w:tcPr>
          <w:p w14:paraId="2837115D" w14:textId="77777777" w:rsidR="00B86F1E" w:rsidRDefault="00B86F1E" w:rsidP="007937CF">
            <w:pPr>
              <w:jc w:val="center"/>
              <w:rPr>
                <w:rFonts w:ascii="Calibri" w:hAnsi="Calibri"/>
                <w:b/>
                <w:bCs/>
                <w:color w:val="000000"/>
              </w:rPr>
            </w:pPr>
            <w:r>
              <w:rPr>
                <w:rFonts w:ascii="Calibri" w:hAnsi="Calibri"/>
                <w:b/>
                <w:bCs/>
                <w:color w:val="000000"/>
              </w:rPr>
              <w:t>Year on Year</w:t>
            </w:r>
          </w:p>
          <w:p w14:paraId="63A1DECC" w14:textId="77777777" w:rsidR="004A2D33" w:rsidRPr="009B4256" w:rsidRDefault="004A2D33" w:rsidP="007937CF">
            <w:pPr>
              <w:jc w:val="center"/>
              <w:rPr>
                <w:rFonts w:ascii="Calibri" w:hAnsi="Calibri"/>
                <w:b/>
                <w:bCs/>
                <w:color w:val="000000"/>
              </w:rPr>
            </w:pPr>
            <w:r w:rsidRPr="009B4256">
              <w:rPr>
                <w:rFonts w:ascii="Calibri" w:hAnsi="Calibri"/>
                <w:b/>
                <w:bCs/>
                <w:color w:val="000000"/>
              </w:rPr>
              <w:t>% change</w:t>
            </w:r>
          </w:p>
        </w:tc>
      </w:tr>
      <w:tr w:rsidR="00E013E2" w:rsidRPr="009B4256" w14:paraId="5D23AAF4" w14:textId="77777777" w:rsidTr="00A44780">
        <w:trPr>
          <w:trHeight w:val="315"/>
        </w:trPr>
        <w:tc>
          <w:tcPr>
            <w:tcW w:w="1559" w:type="dxa"/>
            <w:noWrap/>
          </w:tcPr>
          <w:p w14:paraId="48FBC745" w14:textId="77777777" w:rsidR="00E013E2" w:rsidRDefault="00E013E2" w:rsidP="007937CF">
            <w:pPr>
              <w:jc w:val="center"/>
              <w:rPr>
                <w:rFonts w:ascii="Calibri" w:hAnsi="Calibri"/>
                <w:color w:val="000000"/>
              </w:rPr>
            </w:pPr>
            <w:r>
              <w:rPr>
                <w:rFonts w:ascii="Calibri" w:hAnsi="Calibri"/>
                <w:color w:val="000000"/>
              </w:rPr>
              <w:t>2019/20</w:t>
            </w:r>
          </w:p>
        </w:tc>
        <w:tc>
          <w:tcPr>
            <w:tcW w:w="1560" w:type="dxa"/>
            <w:shd w:val="clear" w:color="auto" w:fill="auto"/>
            <w:noWrap/>
          </w:tcPr>
          <w:p w14:paraId="7E186C3E" w14:textId="77777777" w:rsidR="00E013E2" w:rsidRPr="00A40C97" w:rsidRDefault="006B560D" w:rsidP="00C306BE">
            <w:pPr>
              <w:jc w:val="center"/>
              <w:rPr>
                <w:rFonts w:ascii="Calibri" w:hAnsi="Calibri"/>
                <w:color w:val="000000"/>
              </w:rPr>
            </w:pPr>
            <w:r>
              <w:rPr>
                <w:rFonts w:ascii="Calibri" w:hAnsi="Calibri"/>
                <w:color w:val="000000"/>
              </w:rPr>
              <w:t>£437,658</w:t>
            </w:r>
          </w:p>
        </w:tc>
        <w:tc>
          <w:tcPr>
            <w:tcW w:w="1842" w:type="dxa"/>
            <w:shd w:val="clear" w:color="auto" w:fill="auto"/>
            <w:noWrap/>
          </w:tcPr>
          <w:p w14:paraId="09FD7FFC" w14:textId="77777777" w:rsidR="00E013E2" w:rsidRPr="00A40C97" w:rsidRDefault="00C306BE" w:rsidP="007937CF">
            <w:pPr>
              <w:jc w:val="center"/>
              <w:rPr>
                <w:rFonts w:ascii="Calibri" w:hAnsi="Calibri"/>
                <w:color w:val="000000"/>
              </w:rPr>
            </w:pPr>
            <w:r>
              <w:rPr>
                <w:rFonts w:ascii="Calibri" w:hAnsi="Calibri"/>
                <w:color w:val="000000"/>
              </w:rPr>
              <w:t>N/A</w:t>
            </w:r>
          </w:p>
        </w:tc>
      </w:tr>
      <w:tr w:rsidR="00815C18" w:rsidRPr="009B4256" w14:paraId="2B1B98FE" w14:textId="77777777" w:rsidTr="007D6F5D">
        <w:trPr>
          <w:trHeight w:val="315"/>
        </w:trPr>
        <w:tc>
          <w:tcPr>
            <w:tcW w:w="1559" w:type="dxa"/>
            <w:noWrap/>
          </w:tcPr>
          <w:p w14:paraId="3C624CA0" w14:textId="77777777" w:rsidR="00815C18" w:rsidRDefault="00815C18" w:rsidP="007937CF">
            <w:pPr>
              <w:jc w:val="center"/>
              <w:rPr>
                <w:rFonts w:ascii="Calibri" w:hAnsi="Calibri"/>
                <w:color w:val="000000"/>
              </w:rPr>
            </w:pPr>
            <w:r>
              <w:rPr>
                <w:rFonts w:ascii="Calibri" w:hAnsi="Calibri"/>
                <w:color w:val="000000"/>
              </w:rPr>
              <w:t>2020/21</w:t>
            </w:r>
          </w:p>
        </w:tc>
        <w:tc>
          <w:tcPr>
            <w:tcW w:w="1560" w:type="dxa"/>
            <w:shd w:val="clear" w:color="auto" w:fill="auto"/>
            <w:noWrap/>
          </w:tcPr>
          <w:p w14:paraId="222264E0" w14:textId="77777777" w:rsidR="00815C18" w:rsidRPr="00A40C97" w:rsidRDefault="006B560D" w:rsidP="00C306BE">
            <w:pPr>
              <w:tabs>
                <w:tab w:val="center" w:pos="672"/>
                <w:tab w:val="left" w:pos="1236"/>
              </w:tabs>
              <w:jc w:val="center"/>
              <w:rPr>
                <w:rFonts w:ascii="Calibri" w:hAnsi="Calibri"/>
                <w:color w:val="000000"/>
              </w:rPr>
            </w:pPr>
            <w:r>
              <w:rPr>
                <w:rFonts w:ascii="Calibri" w:hAnsi="Calibri"/>
                <w:color w:val="000000"/>
              </w:rPr>
              <w:t>£122,975</w:t>
            </w:r>
          </w:p>
        </w:tc>
        <w:tc>
          <w:tcPr>
            <w:tcW w:w="1842" w:type="dxa"/>
            <w:shd w:val="clear" w:color="auto" w:fill="auto"/>
            <w:noWrap/>
          </w:tcPr>
          <w:p w14:paraId="1C84BB8C" w14:textId="77777777" w:rsidR="00815C18" w:rsidRDefault="006B560D" w:rsidP="007937CF">
            <w:pPr>
              <w:jc w:val="center"/>
              <w:rPr>
                <w:rFonts w:ascii="Calibri" w:hAnsi="Calibri"/>
                <w:color w:val="000000"/>
              </w:rPr>
            </w:pPr>
            <w:r>
              <w:rPr>
                <w:rFonts w:ascii="Calibri" w:hAnsi="Calibri"/>
                <w:color w:val="000000"/>
              </w:rPr>
              <w:t>-71%</w:t>
            </w:r>
          </w:p>
        </w:tc>
      </w:tr>
      <w:tr w:rsidR="004A2D33" w:rsidRPr="009B4256" w14:paraId="537C9082" w14:textId="77777777" w:rsidTr="007D6F5D">
        <w:trPr>
          <w:trHeight w:val="315"/>
        </w:trPr>
        <w:tc>
          <w:tcPr>
            <w:tcW w:w="1559" w:type="dxa"/>
            <w:noWrap/>
            <w:hideMark/>
          </w:tcPr>
          <w:p w14:paraId="5CC9056A" w14:textId="77777777" w:rsidR="004A2D33" w:rsidRPr="009B4256" w:rsidRDefault="00EC1B65" w:rsidP="007937CF">
            <w:pPr>
              <w:jc w:val="center"/>
              <w:rPr>
                <w:rFonts w:ascii="Calibri" w:hAnsi="Calibri"/>
                <w:color w:val="000000"/>
              </w:rPr>
            </w:pPr>
            <w:r>
              <w:rPr>
                <w:rFonts w:ascii="Calibri" w:hAnsi="Calibri"/>
                <w:color w:val="000000"/>
              </w:rPr>
              <w:t>2021/22</w:t>
            </w:r>
          </w:p>
        </w:tc>
        <w:tc>
          <w:tcPr>
            <w:tcW w:w="1560" w:type="dxa"/>
            <w:shd w:val="clear" w:color="auto" w:fill="auto"/>
            <w:noWrap/>
          </w:tcPr>
          <w:p w14:paraId="26E195BE" w14:textId="77777777" w:rsidR="004A2D33" w:rsidRPr="00A40C97" w:rsidRDefault="006B560D" w:rsidP="00C306BE">
            <w:pPr>
              <w:tabs>
                <w:tab w:val="center" w:pos="672"/>
                <w:tab w:val="left" w:pos="1236"/>
              </w:tabs>
              <w:jc w:val="center"/>
              <w:rPr>
                <w:rFonts w:ascii="Calibri" w:hAnsi="Calibri"/>
                <w:color w:val="000000"/>
              </w:rPr>
            </w:pPr>
            <w:r>
              <w:rPr>
                <w:rFonts w:ascii="Calibri" w:hAnsi="Calibri"/>
                <w:color w:val="000000"/>
              </w:rPr>
              <w:t>£270,957</w:t>
            </w:r>
          </w:p>
        </w:tc>
        <w:tc>
          <w:tcPr>
            <w:tcW w:w="1842" w:type="dxa"/>
            <w:shd w:val="clear" w:color="auto" w:fill="auto"/>
            <w:noWrap/>
          </w:tcPr>
          <w:p w14:paraId="373A5285" w14:textId="77777777" w:rsidR="004A2D33" w:rsidRPr="00A40C97" w:rsidRDefault="006B560D" w:rsidP="007937CF">
            <w:pPr>
              <w:jc w:val="center"/>
              <w:rPr>
                <w:rFonts w:ascii="Calibri" w:hAnsi="Calibri"/>
                <w:color w:val="000000"/>
              </w:rPr>
            </w:pPr>
            <w:r>
              <w:rPr>
                <w:rFonts w:ascii="Calibri" w:hAnsi="Calibri"/>
                <w:color w:val="000000"/>
              </w:rPr>
              <w:t>+120%</w:t>
            </w:r>
          </w:p>
        </w:tc>
      </w:tr>
    </w:tbl>
    <w:p w14:paraId="6CC09D0C" w14:textId="77777777" w:rsidR="004A2D33" w:rsidRDefault="004A2D33" w:rsidP="0059767C">
      <w:pPr>
        <w:ind w:left="720" w:hanging="720"/>
        <w:jc w:val="left"/>
        <w:rPr>
          <w:rFonts w:cs="Arial"/>
          <w:sz w:val="24"/>
          <w:szCs w:val="24"/>
        </w:rPr>
      </w:pPr>
    </w:p>
    <w:p w14:paraId="3455BCB0" w14:textId="5FF25A49" w:rsidR="002A7FB6" w:rsidRDefault="002A7FB6" w:rsidP="0059767C">
      <w:pPr>
        <w:ind w:left="720" w:hanging="720"/>
        <w:jc w:val="left"/>
        <w:rPr>
          <w:rFonts w:cs="Arial"/>
          <w:sz w:val="24"/>
          <w:szCs w:val="24"/>
        </w:rPr>
      </w:pPr>
      <w:r>
        <w:rPr>
          <w:rFonts w:cs="Arial"/>
          <w:sz w:val="24"/>
          <w:szCs w:val="24"/>
        </w:rPr>
        <w:tab/>
        <w:t xml:space="preserve">The percentage change has been calculated </w:t>
      </w:r>
      <w:r w:rsidR="00B86F1E">
        <w:rPr>
          <w:rFonts w:cs="Arial"/>
          <w:sz w:val="24"/>
          <w:szCs w:val="24"/>
        </w:rPr>
        <w:t>to compare</w:t>
      </w:r>
      <w:r w:rsidR="006B560D">
        <w:rPr>
          <w:rFonts w:cs="Arial"/>
          <w:sz w:val="24"/>
          <w:szCs w:val="24"/>
        </w:rPr>
        <w:t xml:space="preserve"> 19/20 to 21/22 income </w:t>
      </w:r>
      <w:r w:rsidR="00B86F1E">
        <w:rPr>
          <w:rFonts w:cs="Arial"/>
          <w:sz w:val="24"/>
          <w:szCs w:val="24"/>
        </w:rPr>
        <w:t>which shows a decrease of 61% over this time period.</w:t>
      </w:r>
    </w:p>
    <w:p w14:paraId="6F7E9874" w14:textId="5FBD3A2E" w:rsidR="00BA0B6A" w:rsidRDefault="00BA0B6A" w:rsidP="0059767C">
      <w:pPr>
        <w:ind w:left="720" w:hanging="720"/>
        <w:jc w:val="left"/>
        <w:rPr>
          <w:rFonts w:cs="Arial"/>
          <w:sz w:val="24"/>
          <w:szCs w:val="24"/>
        </w:rPr>
      </w:pPr>
    </w:p>
    <w:p w14:paraId="796DE54D" w14:textId="0CEA5108" w:rsidR="00BA0B6A" w:rsidRDefault="00BA0B6A" w:rsidP="0059767C">
      <w:pPr>
        <w:ind w:left="720" w:hanging="720"/>
        <w:jc w:val="left"/>
        <w:rPr>
          <w:rFonts w:cs="Arial"/>
          <w:sz w:val="24"/>
          <w:szCs w:val="24"/>
        </w:rPr>
      </w:pPr>
      <w:r>
        <w:rPr>
          <w:rFonts w:cs="Arial"/>
          <w:sz w:val="24"/>
          <w:szCs w:val="24"/>
        </w:rPr>
        <w:tab/>
        <w:t>There was also a period of 2 ½ weeks free parking in the Four Seasons car park from late December to early January due to faulty barriers which would have had an impact on income.</w:t>
      </w:r>
    </w:p>
    <w:p w14:paraId="583471FF" w14:textId="77777777" w:rsidR="002A7FB6" w:rsidRDefault="00B97B71" w:rsidP="0059767C">
      <w:pPr>
        <w:ind w:left="720" w:hanging="720"/>
        <w:jc w:val="left"/>
        <w:rPr>
          <w:rFonts w:cs="Arial"/>
          <w:sz w:val="24"/>
          <w:szCs w:val="24"/>
        </w:rPr>
      </w:pPr>
      <w:r>
        <w:rPr>
          <w:rFonts w:cs="Arial"/>
          <w:sz w:val="24"/>
          <w:szCs w:val="24"/>
        </w:rPr>
        <w:tab/>
      </w:r>
    </w:p>
    <w:p w14:paraId="48099B08" w14:textId="121951D8" w:rsidR="00F232A4" w:rsidRPr="008F3C2C" w:rsidRDefault="002A7FB6" w:rsidP="0059767C">
      <w:pPr>
        <w:ind w:left="720" w:hanging="720"/>
        <w:jc w:val="left"/>
        <w:rPr>
          <w:rFonts w:cs="Arial"/>
          <w:sz w:val="24"/>
          <w:szCs w:val="24"/>
          <w:highlight w:val="yellow"/>
        </w:rPr>
      </w:pPr>
      <w:r>
        <w:rPr>
          <w:rFonts w:cs="Arial"/>
          <w:sz w:val="24"/>
          <w:szCs w:val="24"/>
        </w:rPr>
        <w:tab/>
      </w:r>
      <w:r w:rsidR="00901787">
        <w:rPr>
          <w:rFonts w:cs="Arial"/>
          <w:sz w:val="24"/>
          <w:szCs w:val="24"/>
        </w:rPr>
        <w:t>The fire doors have been assessed, the quote received and the work should be completed w/c 21 February 2022. This will enable the car park to re-open. There are some additional works that are required, but that can be done once the car park has opened and the contractor is already programming that work.</w:t>
      </w:r>
    </w:p>
    <w:p w14:paraId="338D5D9F" w14:textId="77777777" w:rsidR="001674D2" w:rsidRPr="008F3C2C" w:rsidRDefault="001674D2" w:rsidP="0059767C">
      <w:pPr>
        <w:ind w:left="720" w:hanging="720"/>
        <w:jc w:val="left"/>
        <w:rPr>
          <w:rFonts w:cs="Arial"/>
          <w:sz w:val="24"/>
          <w:szCs w:val="24"/>
          <w:highlight w:val="yellow"/>
        </w:rPr>
      </w:pPr>
    </w:p>
    <w:p w14:paraId="514D5CD3" w14:textId="54451DCD" w:rsidR="001674D2" w:rsidRDefault="001674D2" w:rsidP="0059767C">
      <w:pPr>
        <w:ind w:left="720" w:hanging="720"/>
        <w:jc w:val="left"/>
        <w:rPr>
          <w:rFonts w:cs="Arial"/>
          <w:sz w:val="24"/>
          <w:szCs w:val="24"/>
        </w:rPr>
      </w:pPr>
      <w:r w:rsidRPr="00901787">
        <w:rPr>
          <w:rFonts w:cs="Arial"/>
          <w:sz w:val="24"/>
          <w:szCs w:val="24"/>
        </w:rPr>
        <w:tab/>
        <w:t>It is anticipated that the car park wi</w:t>
      </w:r>
      <w:r w:rsidR="00F11E80" w:rsidRPr="00901787">
        <w:rPr>
          <w:rFonts w:cs="Arial"/>
          <w:sz w:val="24"/>
          <w:szCs w:val="24"/>
        </w:rPr>
        <w:t>ll re-open to the publ</w:t>
      </w:r>
      <w:r w:rsidR="00901787" w:rsidRPr="00901787">
        <w:rPr>
          <w:rFonts w:cs="Arial"/>
          <w:sz w:val="24"/>
          <w:szCs w:val="24"/>
        </w:rPr>
        <w:t>ic at</w:t>
      </w:r>
      <w:r w:rsidR="008F3C2C" w:rsidRPr="00901787">
        <w:rPr>
          <w:rFonts w:cs="Arial"/>
          <w:sz w:val="24"/>
          <w:szCs w:val="24"/>
        </w:rPr>
        <w:t xml:space="preserve"> the end of February</w:t>
      </w:r>
      <w:r w:rsidR="00F11E80" w:rsidRPr="00901787">
        <w:rPr>
          <w:rFonts w:cs="Arial"/>
          <w:sz w:val="24"/>
          <w:szCs w:val="24"/>
        </w:rPr>
        <w:t>.</w:t>
      </w:r>
    </w:p>
    <w:p w14:paraId="7A951371" w14:textId="4417CB50" w:rsidR="00901787" w:rsidRDefault="00901787" w:rsidP="0059767C">
      <w:pPr>
        <w:ind w:left="720" w:hanging="720"/>
        <w:jc w:val="left"/>
        <w:rPr>
          <w:rFonts w:cs="Arial"/>
          <w:sz w:val="24"/>
          <w:szCs w:val="24"/>
        </w:rPr>
      </w:pPr>
    </w:p>
    <w:p w14:paraId="5FDFA03D" w14:textId="47558AC4" w:rsidR="00901787" w:rsidRDefault="00901787" w:rsidP="0059767C">
      <w:pPr>
        <w:ind w:left="720" w:hanging="720"/>
        <w:jc w:val="left"/>
        <w:rPr>
          <w:rFonts w:cs="Arial"/>
          <w:sz w:val="24"/>
          <w:szCs w:val="24"/>
        </w:rPr>
      </w:pPr>
      <w:r>
        <w:rPr>
          <w:rFonts w:cs="Arial"/>
          <w:sz w:val="24"/>
          <w:szCs w:val="24"/>
        </w:rPr>
        <w:tab/>
      </w:r>
      <w:r w:rsidR="00757CCF" w:rsidRPr="00757CCF">
        <w:rPr>
          <w:rFonts w:cs="Arial"/>
          <w:sz w:val="24"/>
          <w:szCs w:val="24"/>
        </w:rPr>
        <w:t>All other outstanding work that would prevent the car park opening has been completed by Facilities.</w:t>
      </w:r>
    </w:p>
    <w:p w14:paraId="1FEEF01C" w14:textId="77777777" w:rsidR="00333D94" w:rsidRDefault="00333D94" w:rsidP="0059767C">
      <w:pPr>
        <w:ind w:left="720" w:hanging="720"/>
        <w:jc w:val="left"/>
        <w:rPr>
          <w:rFonts w:cs="Arial"/>
          <w:sz w:val="24"/>
          <w:szCs w:val="24"/>
        </w:rPr>
      </w:pPr>
    </w:p>
    <w:p w14:paraId="2C7E1367" w14:textId="14335F99" w:rsidR="00333D94" w:rsidRDefault="00333D94" w:rsidP="0059767C">
      <w:pPr>
        <w:ind w:left="720" w:hanging="720"/>
        <w:jc w:val="left"/>
        <w:rPr>
          <w:rFonts w:cs="Arial"/>
          <w:sz w:val="24"/>
          <w:szCs w:val="24"/>
        </w:rPr>
      </w:pPr>
      <w:r>
        <w:rPr>
          <w:rFonts w:cs="Arial"/>
          <w:sz w:val="24"/>
          <w:szCs w:val="24"/>
        </w:rPr>
        <w:tab/>
        <w:t>There is no set date yet for the closure of the Old Town Hall car park but it is likely to be the 2</w:t>
      </w:r>
      <w:r w:rsidRPr="00333D94">
        <w:rPr>
          <w:rFonts w:cs="Arial"/>
          <w:sz w:val="24"/>
          <w:szCs w:val="24"/>
          <w:vertAlign w:val="superscript"/>
        </w:rPr>
        <w:t>nd</w:t>
      </w:r>
      <w:r>
        <w:rPr>
          <w:rFonts w:cs="Arial"/>
          <w:sz w:val="24"/>
          <w:szCs w:val="24"/>
        </w:rPr>
        <w:t xml:space="preserve"> week in February.</w:t>
      </w:r>
    </w:p>
    <w:p w14:paraId="11E73332" w14:textId="6DA3CAFF" w:rsidR="00BA0B6A" w:rsidRDefault="00BA0B6A" w:rsidP="0059767C">
      <w:pPr>
        <w:ind w:left="720" w:hanging="720"/>
        <w:jc w:val="left"/>
        <w:rPr>
          <w:rFonts w:cs="Arial"/>
          <w:sz w:val="24"/>
          <w:szCs w:val="24"/>
        </w:rPr>
      </w:pPr>
    </w:p>
    <w:p w14:paraId="3FAF7D91" w14:textId="443DAD6E" w:rsidR="00BA0B6A" w:rsidRDefault="00BA0B6A" w:rsidP="0059767C">
      <w:pPr>
        <w:ind w:left="720" w:hanging="720"/>
        <w:jc w:val="left"/>
        <w:rPr>
          <w:rFonts w:cs="Arial"/>
          <w:sz w:val="24"/>
          <w:szCs w:val="24"/>
        </w:rPr>
      </w:pPr>
      <w:r>
        <w:rPr>
          <w:rFonts w:cs="Arial"/>
          <w:sz w:val="24"/>
          <w:szCs w:val="24"/>
        </w:rPr>
        <w:tab/>
        <w:t>Grove Street car park continues to host the Covid testing centre, which has restricted the number of spaces available for visitors to use</w:t>
      </w:r>
      <w:r w:rsidR="00E44390">
        <w:rPr>
          <w:rFonts w:cs="Arial"/>
          <w:sz w:val="24"/>
          <w:szCs w:val="24"/>
        </w:rPr>
        <w:t>.</w:t>
      </w:r>
    </w:p>
    <w:p w14:paraId="0D331ED8" w14:textId="7D32FBB0" w:rsidR="00E44390" w:rsidRDefault="00E44390" w:rsidP="0059767C">
      <w:pPr>
        <w:ind w:left="720" w:hanging="720"/>
        <w:jc w:val="left"/>
        <w:rPr>
          <w:rFonts w:cs="Arial"/>
          <w:sz w:val="24"/>
          <w:szCs w:val="24"/>
        </w:rPr>
      </w:pPr>
    </w:p>
    <w:p w14:paraId="27EE8A1F" w14:textId="7BCFBA2A" w:rsidR="00E44390" w:rsidRPr="00F24E50" w:rsidRDefault="00E44390" w:rsidP="0059767C">
      <w:pPr>
        <w:ind w:left="720" w:hanging="720"/>
        <w:jc w:val="left"/>
        <w:rPr>
          <w:rFonts w:cs="Arial"/>
          <w:sz w:val="24"/>
          <w:szCs w:val="24"/>
          <w:shd w:val="clear" w:color="auto" w:fill="FFFF00"/>
        </w:rPr>
      </w:pPr>
      <w:r>
        <w:rPr>
          <w:rFonts w:cs="Arial"/>
          <w:sz w:val="24"/>
          <w:szCs w:val="24"/>
        </w:rPr>
        <w:tab/>
        <w:t>A decision will be taken in the next few weeks to declare surplus to requirements Victoria Street, Garden Road and Radford Road car parks, as well as the Town Centre Operations compound.</w:t>
      </w:r>
    </w:p>
    <w:p w14:paraId="7BBB16DA" w14:textId="77777777" w:rsidR="003E1E44" w:rsidRPr="00F24E50" w:rsidRDefault="003E1E44" w:rsidP="0059767C">
      <w:pPr>
        <w:ind w:left="720" w:hanging="720"/>
        <w:jc w:val="left"/>
        <w:rPr>
          <w:rFonts w:cs="Arial"/>
          <w:sz w:val="24"/>
          <w:szCs w:val="24"/>
          <w:shd w:val="clear" w:color="auto" w:fill="FFFF00"/>
        </w:rPr>
      </w:pPr>
    </w:p>
    <w:p w14:paraId="5368B17D" w14:textId="77777777" w:rsidR="001520C5" w:rsidRPr="001520C5" w:rsidRDefault="003E1E44" w:rsidP="001961C3">
      <w:pPr>
        <w:ind w:left="720" w:hanging="720"/>
        <w:jc w:val="left"/>
        <w:rPr>
          <w:sz w:val="24"/>
          <w:szCs w:val="24"/>
          <w:u w:val="single"/>
        </w:rPr>
      </w:pPr>
      <w:r w:rsidRPr="00F24E50">
        <w:tab/>
      </w:r>
      <w:r w:rsidR="001520C5" w:rsidRPr="001520C5">
        <w:rPr>
          <w:sz w:val="24"/>
          <w:szCs w:val="24"/>
          <w:u w:val="single"/>
        </w:rPr>
        <w:t>Virtual Permits</w:t>
      </w:r>
    </w:p>
    <w:p w14:paraId="726DF1D5" w14:textId="77777777" w:rsidR="001520C5" w:rsidRDefault="001520C5" w:rsidP="001961C3">
      <w:pPr>
        <w:ind w:left="720" w:hanging="720"/>
        <w:jc w:val="left"/>
        <w:rPr>
          <w:u w:val="single"/>
        </w:rPr>
      </w:pPr>
    </w:p>
    <w:p w14:paraId="7EE36805" w14:textId="77777777" w:rsidR="00402E98" w:rsidRDefault="001520C5" w:rsidP="007E7EEC">
      <w:pPr>
        <w:pStyle w:val="PlainText"/>
      </w:pPr>
      <w:r>
        <w:tab/>
      </w:r>
      <w:r w:rsidR="00402E98">
        <w:t>The virtual permit system</w:t>
      </w:r>
      <w:r w:rsidR="00B406EA">
        <w:t xml:space="preserve"> is now fully operational and is being used by Town </w:t>
      </w:r>
      <w:r w:rsidR="00B406EA">
        <w:tab/>
        <w:t>Centre based staff, market traders and businesses.</w:t>
      </w:r>
    </w:p>
    <w:p w14:paraId="751A7A87" w14:textId="77777777" w:rsidR="00B406EA" w:rsidRDefault="00B406EA" w:rsidP="007E7EEC">
      <w:pPr>
        <w:pStyle w:val="PlainText"/>
      </w:pPr>
    </w:p>
    <w:p w14:paraId="13DB90D8" w14:textId="77777777" w:rsidR="00B406EA" w:rsidRDefault="00B406EA" w:rsidP="007E7EEC">
      <w:pPr>
        <w:pStyle w:val="PlainText"/>
      </w:pPr>
      <w:r>
        <w:tab/>
        <w:t xml:space="preserve">This has significantly reduced the workload of the admin assistant and </w:t>
      </w:r>
      <w:r>
        <w:tab/>
        <w:t>enabled people to self-serve at a time that suits them.</w:t>
      </w:r>
    </w:p>
    <w:p w14:paraId="6950756C" w14:textId="77777777" w:rsidR="00402E98" w:rsidRDefault="00402E98" w:rsidP="007E7EEC">
      <w:pPr>
        <w:pStyle w:val="PlainText"/>
      </w:pPr>
    </w:p>
    <w:p w14:paraId="4EB5B0F6" w14:textId="203FD94C" w:rsidR="001520C5" w:rsidRDefault="00402E98" w:rsidP="007E7EEC">
      <w:pPr>
        <w:pStyle w:val="PlainText"/>
      </w:pPr>
      <w:r>
        <w:tab/>
      </w:r>
      <w:r w:rsidR="00B406EA">
        <w:t xml:space="preserve">It also has a positive benefit </w:t>
      </w:r>
      <w:r w:rsidR="00BA7217">
        <w:t xml:space="preserve">for the environment as it reduces our printing </w:t>
      </w:r>
      <w:r w:rsidR="00B406EA">
        <w:tab/>
        <w:t xml:space="preserve">and </w:t>
      </w:r>
      <w:r w:rsidR="00B406EA">
        <w:tab/>
        <w:t xml:space="preserve">laminating </w:t>
      </w:r>
      <w:r w:rsidR="00BA7217">
        <w:t>levels</w:t>
      </w:r>
      <w:r w:rsidR="00B406EA">
        <w:t xml:space="preserve"> </w:t>
      </w:r>
      <w:r w:rsidR="00BA7217">
        <w:t>significantly.</w:t>
      </w:r>
    </w:p>
    <w:p w14:paraId="4C7FF168" w14:textId="635CF07B" w:rsidR="00E44390" w:rsidRDefault="00E44390" w:rsidP="007E7EEC">
      <w:pPr>
        <w:pStyle w:val="PlainText"/>
      </w:pPr>
    </w:p>
    <w:p w14:paraId="7F828661" w14:textId="38C391D8" w:rsidR="00E44390" w:rsidRDefault="00E44390" w:rsidP="007E7EEC">
      <w:pPr>
        <w:pStyle w:val="PlainText"/>
      </w:pPr>
      <w:r>
        <w:tab/>
        <w:t xml:space="preserve">This scheme will be rolled out to all MDC staff and councilors who qualify for a </w:t>
      </w:r>
      <w:r>
        <w:tab/>
        <w:t xml:space="preserve">parking permit over the next 2 to 3 months and will be administered by the </w:t>
      </w:r>
      <w:r>
        <w:tab/>
        <w:t>Facilities Team.</w:t>
      </w:r>
    </w:p>
    <w:p w14:paraId="2B52A975" w14:textId="41BEED07" w:rsidR="0032681D" w:rsidRDefault="0032681D" w:rsidP="001520C5">
      <w:pPr>
        <w:pStyle w:val="PlainText"/>
      </w:pPr>
    </w:p>
    <w:p w14:paraId="5497EC0D" w14:textId="634785A3" w:rsidR="00E44390" w:rsidRDefault="00E44390" w:rsidP="001520C5">
      <w:pPr>
        <w:pStyle w:val="PlainText"/>
      </w:pPr>
    </w:p>
    <w:p w14:paraId="49DEB307" w14:textId="7F86F432" w:rsidR="00E44390" w:rsidRDefault="00E44390" w:rsidP="001520C5">
      <w:pPr>
        <w:pStyle w:val="PlainText"/>
      </w:pPr>
    </w:p>
    <w:p w14:paraId="77532E80" w14:textId="6A8602D3" w:rsidR="00E44390" w:rsidRDefault="00E44390" w:rsidP="001520C5">
      <w:pPr>
        <w:pStyle w:val="PlainText"/>
      </w:pPr>
    </w:p>
    <w:p w14:paraId="32274F1D" w14:textId="2912EC0B" w:rsidR="00B7381A" w:rsidRDefault="00B7381A" w:rsidP="001520C5">
      <w:pPr>
        <w:pStyle w:val="PlainText"/>
      </w:pPr>
    </w:p>
    <w:p w14:paraId="55F63A09" w14:textId="77777777" w:rsidR="00B7381A" w:rsidRDefault="00B7381A" w:rsidP="001520C5">
      <w:pPr>
        <w:pStyle w:val="PlainText"/>
      </w:pPr>
    </w:p>
    <w:p w14:paraId="292DD0EA" w14:textId="77777777" w:rsidR="00E44390" w:rsidRDefault="00E44390" w:rsidP="001520C5">
      <w:pPr>
        <w:pStyle w:val="PlainText"/>
      </w:pPr>
    </w:p>
    <w:p w14:paraId="1D3BAA0C" w14:textId="77777777" w:rsidR="00404ABD" w:rsidRDefault="00C00524" w:rsidP="00BF3F78">
      <w:pPr>
        <w:pStyle w:val="PlainText"/>
        <w:rPr>
          <w:rFonts w:eastAsia="Calibri" w:cs="Arial"/>
          <w:b/>
          <w:szCs w:val="24"/>
        </w:rPr>
      </w:pPr>
      <w:r w:rsidRPr="00C00524">
        <w:rPr>
          <w:rFonts w:eastAsia="Calibri" w:cs="Arial"/>
          <w:b/>
          <w:szCs w:val="24"/>
        </w:rPr>
        <w:t xml:space="preserve">5. </w:t>
      </w:r>
      <w:r w:rsidR="008F7ABE">
        <w:rPr>
          <w:rFonts w:eastAsia="Calibri" w:cs="Arial"/>
          <w:b/>
          <w:szCs w:val="24"/>
        </w:rPr>
        <w:tab/>
      </w:r>
      <w:r w:rsidR="00404ABD">
        <w:rPr>
          <w:rFonts w:eastAsia="Calibri" w:cs="Arial"/>
          <w:b/>
          <w:szCs w:val="24"/>
        </w:rPr>
        <w:t>SHOPMOBILITY</w:t>
      </w:r>
    </w:p>
    <w:p w14:paraId="14F75F36" w14:textId="77777777" w:rsidR="00404ABD" w:rsidRDefault="00404ABD" w:rsidP="002A102F">
      <w:pPr>
        <w:ind w:left="720" w:hanging="720"/>
        <w:jc w:val="left"/>
        <w:rPr>
          <w:rFonts w:eastAsia="Calibri" w:cs="Arial"/>
          <w:b/>
          <w:sz w:val="24"/>
          <w:szCs w:val="24"/>
          <w:lang w:eastAsia="en-US"/>
        </w:rPr>
      </w:pPr>
    </w:p>
    <w:p w14:paraId="710C4DB7" w14:textId="77777777" w:rsidR="00B32D05" w:rsidRDefault="00B32D05" w:rsidP="002A102F">
      <w:pPr>
        <w:ind w:left="720" w:hanging="720"/>
        <w:jc w:val="left"/>
        <w:rPr>
          <w:rFonts w:eastAsia="Calibri" w:cs="Arial"/>
          <w:sz w:val="24"/>
          <w:szCs w:val="24"/>
          <w:lang w:eastAsia="en-US"/>
        </w:rPr>
      </w:pPr>
      <w:r>
        <w:rPr>
          <w:rFonts w:eastAsia="Calibri" w:cs="Arial"/>
          <w:b/>
          <w:sz w:val="24"/>
          <w:szCs w:val="24"/>
          <w:lang w:eastAsia="en-US"/>
        </w:rPr>
        <w:tab/>
      </w:r>
      <w:r>
        <w:rPr>
          <w:rFonts w:eastAsia="Calibri" w:cs="Arial"/>
          <w:sz w:val="24"/>
          <w:szCs w:val="24"/>
          <w:lang w:eastAsia="en-US"/>
        </w:rPr>
        <w:t>The Shopmobility service has continued to operate through</w:t>
      </w:r>
      <w:r w:rsidR="001679DD">
        <w:rPr>
          <w:rFonts w:eastAsia="Calibri" w:cs="Arial"/>
          <w:sz w:val="24"/>
          <w:szCs w:val="24"/>
          <w:lang w:eastAsia="en-US"/>
        </w:rPr>
        <w:t>out</w:t>
      </w:r>
      <w:r w:rsidR="00842E14">
        <w:rPr>
          <w:rFonts w:eastAsia="Calibri" w:cs="Arial"/>
          <w:sz w:val="24"/>
          <w:szCs w:val="24"/>
          <w:lang w:eastAsia="en-US"/>
        </w:rPr>
        <w:t xml:space="preserve"> since the re-opening in late June 2020</w:t>
      </w:r>
      <w:r w:rsidR="001679DD">
        <w:rPr>
          <w:rFonts w:eastAsia="Calibri" w:cs="Arial"/>
          <w:sz w:val="24"/>
          <w:szCs w:val="24"/>
          <w:lang w:eastAsia="en-US"/>
        </w:rPr>
        <w:t xml:space="preserve"> </w:t>
      </w:r>
      <w:r>
        <w:rPr>
          <w:rFonts w:eastAsia="Calibri" w:cs="Arial"/>
          <w:sz w:val="24"/>
          <w:szCs w:val="24"/>
          <w:lang w:eastAsia="en-US"/>
        </w:rPr>
        <w:t>from the shop unit in the Four Seasons shopping centre.</w:t>
      </w:r>
    </w:p>
    <w:p w14:paraId="000E610B" w14:textId="77777777" w:rsidR="00B32D05" w:rsidRDefault="00B32D05" w:rsidP="002A102F">
      <w:pPr>
        <w:ind w:left="720" w:hanging="720"/>
        <w:jc w:val="left"/>
        <w:rPr>
          <w:rFonts w:eastAsia="Calibri" w:cs="Arial"/>
          <w:sz w:val="24"/>
          <w:szCs w:val="24"/>
          <w:lang w:eastAsia="en-US"/>
        </w:rPr>
      </w:pPr>
    </w:p>
    <w:p w14:paraId="42AD8457" w14:textId="77777777" w:rsidR="00404ABD" w:rsidRDefault="00B32D05" w:rsidP="002A102F">
      <w:pPr>
        <w:ind w:left="720" w:hanging="720"/>
        <w:jc w:val="left"/>
        <w:rPr>
          <w:rFonts w:eastAsia="Calibri" w:cs="Arial"/>
          <w:sz w:val="24"/>
          <w:szCs w:val="24"/>
          <w:lang w:eastAsia="en-US"/>
        </w:rPr>
      </w:pPr>
      <w:r>
        <w:rPr>
          <w:rFonts w:eastAsia="Calibri" w:cs="Arial"/>
          <w:sz w:val="24"/>
          <w:szCs w:val="24"/>
          <w:lang w:eastAsia="en-US"/>
        </w:rPr>
        <w:tab/>
      </w:r>
      <w:r w:rsidR="00842E14">
        <w:rPr>
          <w:rFonts w:eastAsia="Calibri" w:cs="Arial"/>
          <w:sz w:val="24"/>
          <w:szCs w:val="24"/>
          <w:lang w:eastAsia="en-US"/>
        </w:rPr>
        <w:t xml:space="preserve">Although the service has continued to operate there are several factors affecting usage and therefore income, i.e. located within the shopping centre, bus station delayed re-introduction of scooter service, drop in footfall and continued reluctance for vulnerable people to return to </w:t>
      </w:r>
      <w:r w:rsidR="00402E98">
        <w:rPr>
          <w:rFonts w:eastAsia="Calibri" w:cs="Arial"/>
          <w:sz w:val="24"/>
          <w:szCs w:val="24"/>
          <w:lang w:eastAsia="en-US"/>
        </w:rPr>
        <w:t>normal due to risk of infection in particular</w:t>
      </w:r>
      <w:r w:rsidR="00333D94">
        <w:rPr>
          <w:rFonts w:eastAsia="Calibri" w:cs="Arial"/>
          <w:sz w:val="24"/>
          <w:szCs w:val="24"/>
          <w:lang w:eastAsia="en-US"/>
        </w:rPr>
        <w:t xml:space="preserve"> more recently</w:t>
      </w:r>
      <w:r w:rsidR="00402E98">
        <w:rPr>
          <w:rFonts w:eastAsia="Calibri" w:cs="Arial"/>
          <w:sz w:val="24"/>
          <w:szCs w:val="24"/>
          <w:lang w:eastAsia="en-US"/>
        </w:rPr>
        <w:t xml:space="preserve"> around the new Omicron strain.</w:t>
      </w:r>
      <w:r w:rsidR="00842E14">
        <w:rPr>
          <w:rFonts w:eastAsia="Calibri" w:cs="Arial"/>
          <w:sz w:val="24"/>
          <w:szCs w:val="24"/>
          <w:lang w:eastAsia="en-US"/>
        </w:rPr>
        <w:t xml:space="preserve"> </w:t>
      </w:r>
    </w:p>
    <w:p w14:paraId="15BAD0EE" w14:textId="77777777" w:rsidR="00842E14" w:rsidRDefault="00842E14" w:rsidP="002A102F">
      <w:pPr>
        <w:ind w:left="720" w:hanging="720"/>
        <w:jc w:val="left"/>
        <w:rPr>
          <w:rFonts w:eastAsia="Calibri" w:cs="Arial"/>
          <w:sz w:val="24"/>
          <w:szCs w:val="24"/>
          <w:lang w:eastAsia="en-US"/>
        </w:rPr>
      </w:pPr>
    </w:p>
    <w:tbl>
      <w:tblPr>
        <w:tblStyle w:val="TableGrid"/>
        <w:tblW w:w="4961" w:type="dxa"/>
        <w:tblInd w:w="775" w:type="dxa"/>
        <w:tblLook w:val="04A0" w:firstRow="1" w:lastRow="0" w:firstColumn="1" w:lastColumn="0" w:noHBand="0" w:noVBand="1"/>
      </w:tblPr>
      <w:tblGrid>
        <w:gridCol w:w="1559"/>
        <w:gridCol w:w="1560"/>
        <w:gridCol w:w="1842"/>
      </w:tblGrid>
      <w:tr w:rsidR="00C86B75" w:rsidRPr="009B4256" w14:paraId="6D3A8749" w14:textId="77777777" w:rsidTr="00745416">
        <w:trPr>
          <w:trHeight w:val="315"/>
        </w:trPr>
        <w:tc>
          <w:tcPr>
            <w:tcW w:w="1559" w:type="dxa"/>
            <w:noWrap/>
            <w:hideMark/>
          </w:tcPr>
          <w:p w14:paraId="3AEDFAFA" w14:textId="77777777" w:rsidR="00C86B75" w:rsidRPr="009B4256" w:rsidRDefault="00842E14" w:rsidP="00745416">
            <w:pPr>
              <w:jc w:val="left"/>
              <w:rPr>
                <w:rFonts w:ascii="Calibri" w:hAnsi="Calibri"/>
                <w:color w:val="000000"/>
              </w:rPr>
            </w:pPr>
            <w:r>
              <w:rPr>
                <w:rFonts w:eastAsia="Calibri" w:cs="Arial"/>
                <w:sz w:val="24"/>
                <w:szCs w:val="24"/>
                <w:lang w:eastAsia="en-US"/>
              </w:rPr>
              <w:tab/>
            </w:r>
          </w:p>
        </w:tc>
        <w:tc>
          <w:tcPr>
            <w:tcW w:w="3402" w:type="dxa"/>
            <w:gridSpan w:val="2"/>
            <w:noWrap/>
            <w:hideMark/>
          </w:tcPr>
          <w:p w14:paraId="56C20B5B" w14:textId="77777777" w:rsidR="00C86B75" w:rsidRPr="009B4256" w:rsidRDefault="005827C2" w:rsidP="00745416">
            <w:pPr>
              <w:jc w:val="center"/>
              <w:rPr>
                <w:rFonts w:ascii="Calibri" w:hAnsi="Calibri"/>
                <w:b/>
                <w:bCs/>
                <w:color w:val="000000"/>
              </w:rPr>
            </w:pPr>
            <w:r>
              <w:rPr>
                <w:rFonts w:ascii="Calibri" w:hAnsi="Calibri"/>
                <w:b/>
                <w:bCs/>
                <w:color w:val="000000"/>
              </w:rPr>
              <w:t>Oct - Dec</w:t>
            </w:r>
          </w:p>
        </w:tc>
      </w:tr>
      <w:tr w:rsidR="00C86B75" w:rsidRPr="009B4256" w14:paraId="7D685502" w14:textId="77777777" w:rsidTr="00745416">
        <w:trPr>
          <w:trHeight w:val="315"/>
        </w:trPr>
        <w:tc>
          <w:tcPr>
            <w:tcW w:w="1559" w:type="dxa"/>
            <w:noWrap/>
            <w:hideMark/>
          </w:tcPr>
          <w:p w14:paraId="7964E491" w14:textId="77777777" w:rsidR="00C86B75" w:rsidRPr="009B4256" w:rsidRDefault="00C86B75" w:rsidP="00745416">
            <w:pPr>
              <w:jc w:val="center"/>
              <w:rPr>
                <w:rFonts w:ascii="Calibri" w:hAnsi="Calibri"/>
                <w:b/>
                <w:bCs/>
                <w:color w:val="000000"/>
              </w:rPr>
            </w:pPr>
            <w:r w:rsidRPr="009B4256">
              <w:rPr>
                <w:rFonts w:ascii="Calibri" w:hAnsi="Calibri"/>
                <w:b/>
                <w:bCs/>
                <w:color w:val="000000"/>
              </w:rPr>
              <w:t>Year</w:t>
            </w:r>
          </w:p>
        </w:tc>
        <w:tc>
          <w:tcPr>
            <w:tcW w:w="1560" w:type="dxa"/>
            <w:noWrap/>
            <w:hideMark/>
          </w:tcPr>
          <w:p w14:paraId="2EA181FE" w14:textId="77777777" w:rsidR="00C86B75" w:rsidRPr="009B4256" w:rsidRDefault="00C86B75" w:rsidP="00745416">
            <w:pPr>
              <w:jc w:val="center"/>
              <w:rPr>
                <w:rFonts w:ascii="Calibri" w:hAnsi="Calibri"/>
                <w:b/>
                <w:bCs/>
                <w:color w:val="000000"/>
              </w:rPr>
            </w:pPr>
            <w:r w:rsidRPr="009B4256">
              <w:rPr>
                <w:rFonts w:ascii="Calibri" w:hAnsi="Calibri"/>
                <w:b/>
                <w:bCs/>
                <w:color w:val="000000"/>
              </w:rPr>
              <w:t>Income</w:t>
            </w:r>
          </w:p>
        </w:tc>
        <w:tc>
          <w:tcPr>
            <w:tcW w:w="1842" w:type="dxa"/>
            <w:noWrap/>
            <w:hideMark/>
          </w:tcPr>
          <w:p w14:paraId="0504B5BC" w14:textId="77777777" w:rsidR="00B86F1E" w:rsidRDefault="00B86F1E" w:rsidP="00745416">
            <w:pPr>
              <w:jc w:val="center"/>
              <w:rPr>
                <w:rFonts w:ascii="Calibri" w:hAnsi="Calibri"/>
                <w:b/>
                <w:bCs/>
                <w:color w:val="000000"/>
              </w:rPr>
            </w:pPr>
            <w:r>
              <w:rPr>
                <w:rFonts w:ascii="Calibri" w:hAnsi="Calibri"/>
                <w:b/>
                <w:bCs/>
                <w:color w:val="000000"/>
              </w:rPr>
              <w:t>Year on Year</w:t>
            </w:r>
          </w:p>
          <w:p w14:paraId="20BC9336" w14:textId="77777777" w:rsidR="00C86B75" w:rsidRPr="009B4256" w:rsidRDefault="00C86B75" w:rsidP="00745416">
            <w:pPr>
              <w:jc w:val="center"/>
              <w:rPr>
                <w:rFonts w:ascii="Calibri" w:hAnsi="Calibri"/>
                <w:b/>
                <w:bCs/>
                <w:color w:val="000000"/>
              </w:rPr>
            </w:pPr>
            <w:r w:rsidRPr="009B4256">
              <w:rPr>
                <w:rFonts w:ascii="Calibri" w:hAnsi="Calibri"/>
                <w:b/>
                <w:bCs/>
                <w:color w:val="000000"/>
              </w:rPr>
              <w:t>% change</w:t>
            </w:r>
          </w:p>
        </w:tc>
      </w:tr>
      <w:tr w:rsidR="00C86B75" w:rsidRPr="009B4256" w14:paraId="0E54E63F" w14:textId="77777777" w:rsidTr="00745416">
        <w:trPr>
          <w:trHeight w:val="315"/>
        </w:trPr>
        <w:tc>
          <w:tcPr>
            <w:tcW w:w="1559" w:type="dxa"/>
            <w:noWrap/>
            <w:hideMark/>
          </w:tcPr>
          <w:p w14:paraId="26921820" w14:textId="77777777" w:rsidR="00C86B75" w:rsidRPr="009B4256" w:rsidRDefault="001679DD" w:rsidP="00745416">
            <w:pPr>
              <w:jc w:val="center"/>
              <w:rPr>
                <w:rFonts w:ascii="Calibri" w:hAnsi="Calibri"/>
                <w:color w:val="000000"/>
              </w:rPr>
            </w:pPr>
            <w:r>
              <w:rPr>
                <w:rFonts w:ascii="Calibri" w:hAnsi="Calibri"/>
                <w:color w:val="000000"/>
              </w:rPr>
              <w:t>2019/20</w:t>
            </w:r>
          </w:p>
        </w:tc>
        <w:tc>
          <w:tcPr>
            <w:tcW w:w="1560" w:type="dxa"/>
            <w:shd w:val="clear" w:color="auto" w:fill="auto"/>
            <w:noWrap/>
          </w:tcPr>
          <w:p w14:paraId="4DB45AC4" w14:textId="77777777" w:rsidR="00C86B75" w:rsidRPr="00A40C97" w:rsidRDefault="00186068" w:rsidP="00C306BE">
            <w:pPr>
              <w:jc w:val="center"/>
              <w:rPr>
                <w:rFonts w:ascii="Calibri" w:hAnsi="Calibri"/>
                <w:color w:val="000000"/>
              </w:rPr>
            </w:pPr>
            <w:r>
              <w:rPr>
                <w:rFonts w:ascii="Calibri" w:hAnsi="Calibri"/>
                <w:color w:val="000000"/>
              </w:rPr>
              <w:t>£1,040</w:t>
            </w:r>
          </w:p>
        </w:tc>
        <w:tc>
          <w:tcPr>
            <w:tcW w:w="1842" w:type="dxa"/>
            <w:shd w:val="clear" w:color="auto" w:fill="auto"/>
            <w:noWrap/>
          </w:tcPr>
          <w:p w14:paraId="1B0AF490" w14:textId="77777777" w:rsidR="00C86B75" w:rsidRPr="00A40C97" w:rsidRDefault="00C306BE" w:rsidP="00402E98">
            <w:pPr>
              <w:jc w:val="center"/>
              <w:rPr>
                <w:rFonts w:ascii="Calibri" w:hAnsi="Calibri"/>
                <w:color w:val="000000"/>
              </w:rPr>
            </w:pPr>
            <w:r>
              <w:rPr>
                <w:rFonts w:ascii="Calibri" w:hAnsi="Calibri"/>
                <w:color w:val="000000"/>
              </w:rPr>
              <w:t>N/A</w:t>
            </w:r>
          </w:p>
        </w:tc>
      </w:tr>
      <w:tr w:rsidR="00842E14" w:rsidRPr="009B4256" w14:paraId="6248D34E" w14:textId="77777777" w:rsidTr="00C50BC8">
        <w:trPr>
          <w:trHeight w:val="315"/>
        </w:trPr>
        <w:tc>
          <w:tcPr>
            <w:tcW w:w="1559" w:type="dxa"/>
            <w:noWrap/>
          </w:tcPr>
          <w:p w14:paraId="6A11BF9F" w14:textId="77777777" w:rsidR="00842E14" w:rsidRDefault="00842E14" w:rsidP="00745416">
            <w:pPr>
              <w:jc w:val="center"/>
              <w:rPr>
                <w:rFonts w:ascii="Calibri" w:hAnsi="Calibri"/>
                <w:color w:val="000000"/>
              </w:rPr>
            </w:pPr>
            <w:r>
              <w:rPr>
                <w:rFonts w:ascii="Calibri" w:hAnsi="Calibri"/>
                <w:color w:val="000000"/>
              </w:rPr>
              <w:t>2020/21</w:t>
            </w:r>
          </w:p>
        </w:tc>
        <w:tc>
          <w:tcPr>
            <w:tcW w:w="1560" w:type="dxa"/>
            <w:shd w:val="clear" w:color="auto" w:fill="auto"/>
            <w:noWrap/>
          </w:tcPr>
          <w:p w14:paraId="45F13491" w14:textId="77777777" w:rsidR="00842E14" w:rsidRPr="00C50BC8" w:rsidRDefault="00186068" w:rsidP="00C306BE">
            <w:pPr>
              <w:tabs>
                <w:tab w:val="center" w:pos="672"/>
                <w:tab w:val="left" w:pos="1236"/>
              </w:tabs>
              <w:jc w:val="center"/>
              <w:rPr>
                <w:rFonts w:ascii="Calibri" w:hAnsi="Calibri"/>
                <w:color w:val="000000"/>
              </w:rPr>
            </w:pPr>
            <w:r>
              <w:rPr>
                <w:rFonts w:ascii="Calibri" w:hAnsi="Calibri"/>
                <w:color w:val="000000"/>
              </w:rPr>
              <w:t>£232</w:t>
            </w:r>
          </w:p>
        </w:tc>
        <w:tc>
          <w:tcPr>
            <w:tcW w:w="1842" w:type="dxa"/>
            <w:shd w:val="clear" w:color="auto" w:fill="auto"/>
            <w:noWrap/>
          </w:tcPr>
          <w:p w14:paraId="517A778A" w14:textId="77777777" w:rsidR="00842E14" w:rsidRPr="00402E98" w:rsidRDefault="00402E98" w:rsidP="00402E98">
            <w:pPr>
              <w:pStyle w:val="ListParagraph"/>
              <w:ind w:left="0"/>
              <w:rPr>
                <w:rFonts w:ascii="Calibri" w:hAnsi="Calibri"/>
                <w:color w:val="000000"/>
              </w:rPr>
            </w:pPr>
            <w:r>
              <w:rPr>
                <w:rFonts w:ascii="Calibri" w:hAnsi="Calibri"/>
                <w:color w:val="000000"/>
              </w:rPr>
              <w:t xml:space="preserve">            -78%</w:t>
            </w:r>
          </w:p>
        </w:tc>
      </w:tr>
      <w:tr w:rsidR="00C86B75" w:rsidRPr="009B4256" w14:paraId="7CC51192" w14:textId="77777777" w:rsidTr="00C50BC8">
        <w:trPr>
          <w:trHeight w:val="315"/>
        </w:trPr>
        <w:tc>
          <w:tcPr>
            <w:tcW w:w="1559" w:type="dxa"/>
            <w:noWrap/>
            <w:hideMark/>
          </w:tcPr>
          <w:p w14:paraId="1EDF3FF0" w14:textId="77777777" w:rsidR="00C86B75" w:rsidRPr="009B4256" w:rsidRDefault="002C52C3" w:rsidP="00745416">
            <w:pPr>
              <w:jc w:val="center"/>
              <w:rPr>
                <w:rFonts w:ascii="Calibri" w:hAnsi="Calibri"/>
                <w:color w:val="000000"/>
              </w:rPr>
            </w:pPr>
            <w:r>
              <w:rPr>
                <w:rFonts w:ascii="Calibri" w:hAnsi="Calibri"/>
                <w:color w:val="000000"/>
              </w:rPr>
              <w:t>2021/22</w:t>
            </w:r>
          </w:p>
        </w:tc>
        <w:tc>
          <w:tcPr>
            <w:tcW w:w="1560" w:type="dxa"/>
            <w:shd w:val="clear" w:color="auto" w:fill="auto"/>
            <w:noWrap/>
          </w:tcPr>
          <w:p w14:paraId="75A4A38A" w14:textId="77777777" w:rsidR="00C86B75" w:rsidRPr="00C50BC8" w:rsidRDefault="00FC4402" w:rsidP="00C306BE">
            <w:pPr>
              <w:tabs>
                <w:tab w:val="center" w:pos="672"/>
                <w:tab w:val="left" w:pos="1236"/>
              </w:tabs>
              <w:jc w:val="center"/>
              <w:rPr>
                <w:rFonts w:ascii="Calibri" w:hAnsi="Calibri"/>
                <w:color w:val="000000"/>
              </w:rPr>
            </w:pPr>
            <w:r>
              <w:rPr>
                <w:rFonts w:ascii="Calibri" w:hAnsi="Calibri"/>
                <w:color w:val="000000"/>
              </w:rPr>
              <w:t>£271</w:t>
            </w:r>
          </w:p>
        </w:tc>
        <w:tc>
          <w:tcPr>
            <w:tcW w:w="1842" w:type="dxa"/>
            <w:shd w:val="clear" w:color="auto" w:fill="auto"/>
            <w:noWrap/>
          </w:tcPr>
          <w:p w14:paraId="4822DEAB" w14:textId="77777777" w:rsidR="00C86B75" w:rsidRPr="00C50BC8" w:rsidRDefault="00402E98" w:rsidP="00402E98">
            <w:pPr>
              <w:jc w:val="center"/>
              <w:rPr>
                <w:rFonts w:ascii="Calibri" w:hAnsi="Calibri"/>
                <w:color w:val="000000"/>
              </w:rPr>
            </w:pPr>
            <w:r>
              <w:rPr>
                <w:rFonts w:ascii="Calibri" w:hAnsi="Calibri"/>
                <w:color w:val="000000"/>
              </w:rPr>
              <w:t>+16%</w:t>
            </w:r>
          </w:p>
        </w:tc>
      </w:tr>
    </w:tbl>
    <w:p w14:paraId="2F400ADF" w14:textId="77777777" w:rsidR="00404ABD" w:rsidRDefault="00404ABD" w:rsidP="002A102F">
      <w:pPr>
        <w:ind w:left="720" w:hanging="720"/>
        <w:jc w:val="left"/>
        <w:rPr>
          <w:rFonts w:eastAsia="Calibri" w:cs="Arial"/>
          <w:b/>
          <w:sz w:val="24"/>
          <w:szCs w:val="24"/>
          <w:lang w:eastAsia="en-US"/>
        </w:rPr>
      </w:pPr>
    </w:p>
    <w:p w14:paraId="46EDD82A" w14:textId="77777777" w:rsidR="00842E14" w:rsidRDefault="00842E14" w:rsidP="00842E14">
      <w:pPr>
        <w:ind w:left="720" w:hanging="720"/>
        <w:jc w:val="left"/>
        <w:rPr>
          <w:rFonts w:cs="Arial"/>
          <w:sz w:val="24"/>
          <w:szCs w:val="24"/>
        </w:rPr>
      </w:pPr>
      <w:r>
        <w:rPr>
          <w:rFonts w:eastAsia="Calibri" w:cs="Arial"/>
          <w:b/>
          <w:sz w:val="24"/>
          <w:szCs w:val="24"/>
          <w:lang w:eastAsia="en-US"/>
        </w:rPr>
        <w:tab/>
      </w:r>
      <w:r>
        <w:rPr>
          <w:rFonts w:cs="Arial"/>
          <w:sz w:val="24"/>
          <w:szCs w:val="24"/>
        </w:rPr>
        <w:t>The percentage change has been c</w:t>
      </w:r>
      <w:r w:rsidR="00402E98">
        <w:rPr>
          <w:rFonts w:cs="Arial"/>
          <w:sz w:val="24"/>
          <w:szCs w:val="24"/>
        </w:rPr>
        <w:t xml:space="preserve">alculated </w:t>
      </w:r>
      <w:r w:rsidR="00B86F1E">
        <w:rPr>
          <w:rFonts w:cs="Arial"/>
          <w:sz w:val="24"/>
          <w:szCs w:val="24"/>
        </w:rPr>
        <w:t>to compare</w:t>
      </w:r>
      <w:r w:rsidR="00402E98">
        <w:rPr>
          <w:rFonts w:cs="Arial"/>
          <w:sz w:val="24"/>
          <w:szCs w:val="24"/>
        </w:rPr>
        <w:t xml:space="preserve"> 19/20 to </w:t>
      </w:r>
      <w:r>
        <w:rPr>
          <w:rFonts w:cs="Arial"/>
          <w:sz w:val="24"/>
          <w:szCs w:val="24"/>
        </w:rPr>
        <w:t>21/22 income</w:t>
      </w:r>
      <w:r w:rsidR="00402E98">
        <w:rPr>
          <w:rFonts w:cs="Arial"/>
          <w:sz w:val="24"/>
          <w:szCs w:val="24"/>
        </w:rPr>
        <w:t>. As you can see whilst there is a 16% increase on the same quarter in 20/21 there is a 74% decrease when compared to pre-Covid income in 2019/20.</w:t>
      </w:r>
    </w:p>
    <w:p w14:paraId="2D8AA437" w14:textId="77777777" w:rsidR="00404ABD" w:rsidRDefault="00404ABD" w:rsidP="002A102F">
      <w:pPr>
        <w:ind w:left="720" w:hanging="720"/>
        <w:jc w:val="left"/>
        <w:rPr>
          <w:rFonts w:eastAsia="Calibri" w:cs="Arial"/>
          <w:b/>
          <w:sz w:val="24"/>
          <w:szCs w:val="24"/>
          <w:lang w:eastAsia="en-US"/>
        </w:rPr>
      </w:pPr>
    </w:p>
    <w:p w14:paraId="3ACAAD78" w14:textId="77777777" w:rsidR="009310CB" w:rsidRDefault="00404ABD" w:rsidP="002A102F">
      <w:pPr>
        <w:ind w:left="720" w:hanging="720"/>
        <w:jc w:val="left"/>
        <w:rPr>
          <w:rFonts w:eastAsia="Calibri" w:cs="Arial"/>
          <w:b/>
          <w:sz w:val="24"/>
          <w:szCs w:val="24"/>
          <w:lang w:eastAsia="en-US"/>
        </w:rPr>
      </w:pPr>
      <w:r>
        <w:rPr>
          <w:rFonts w:eastAsia="Calibri" w:cs="Arial"/>
          <w:b/>
          <w:sz w:val="24"/>
          <w:szCs w:val="24"/>
          <w:lang w:eastAsia="en-US"/>
        </w:rPr>
        <w:t>6.</w:t>
      </w:r>
      <w:r>
        <w:rPr>
          <w:rFonts w:eastAsia="Calibri" w:cs="Arial"/>
          <w:b/>
          <w:sz w:val="24"/>
          <w:szCs w:val="24"/>
          <w:lang w:eastAsia="en-US"/>
        </w:rPr>
        <w:tab/>
      </w:r>
      <w:r w:rsidR="009310CB">
        <w:rPr>
          <w:rFonts w:eastAsia="Calibri" w:cs="Arial"/>
          <w:b/>
          <w:sz w:val="24"/>
          <w:szCs w:val="24"/>
          <w:lang w:eastAsia="en-US"/>
        </w:rPr>
        <w:t>PUBLIC CONVENIENCES</w:t>
      </w:r>
    </w:p>
    <w:p w14:paraId="0C6DA61F" w14:textId="77777777" w:rsidR="009310CB" w:rsidRDefault="009310CB" w:rsidP="002A102F">
      <w:pPr>
        <w:ind w:left="720" w:hanging="720"/>
        <w:jc w:val="left"/>
        <w:rPr>
          <w:rFonts w:eastAsia="Calibri" w:cs="Arial"/>
          <w:b/>
          <w:sz w:val="24"/>
          <w:szCs w:val="24"/>
          <w:lang w:eastAsia="en-US"/>
        </w:rPr>
      </w:pPr>
    </w:p>
    <w:p w14:paraId="658A9859" w14:textId="77777777" w:rsidR="00745083" w:rsidRDefault="009310CB" w:rsidP="002A102F">
      <w:pPr>
        <w:ind w:left="720" w:hanging="720"/>
        <w:jc w:val="left"/>
        <w:rPr>
          <w:rFonts w:eastAsia="Calibri" w:cs="Arial"/>
          <w:sz w:val="24"/>
          <w:szCs w:val="24"/>
          <w:lang w:eastAsia="en-US"/>
        </w:rPr>
      </w:pPr>
      <w:r>
        <w:rPr>
          <w:rFonts w:eastAsia="Calibri" w:cs="Arial"/>
          <w:b/>
          <w:sz w:val="24"/>
          <w:szCs w:val="24"/>
          <w:lang w:eastAsia="en-US"/>
        </w:rPr>
        <w:tab/>
      </w:r>
      <w:r>
        <w:rPr>
          <w:rFonts w:eastAsia="Calibri" w:cs="Arial"/>
          <w:sz w:val="24"/>
          <w:szCs w:val="24"/>
          <w:lang w:eastAsia="en-US"/>
        </w:rPr>
        <w:t>The charges</w:t>
      </w:r>
      <w:r w:rsidR="00745083">
        <w:rPr>
          <w:rFonts w:eastAsia="Calibri" w:cs="Arial"/>
          <w:sz w:val="24"/>
          <w:szCs w:val="24"/>
          <w:lang w:eastAsia="en-US"/>
        </w:rPr>
        <w:t xml:space="preserve"> are not comparable from 2020/21 to 2021/22 due to charges being removed, therefore the percentage change has been calculated by comparing 19/20 to 21/22.</w:t>
      </w:r>
    </w:p>
    <w:p w14:paraId="11038B2A" w14:textId="77777777" w:rsidR="009310CB" w:rsidRPr="009310CB" w:rsidRDefault="009310CB" w:rsidP="002A102F">
      <w:pPr>
        <w:ind w:left="720" w:hanging="720"/>
        <w:jc w:val="left"/>
        <w:rPr>
          <w:rFonts w:eastAsia="Calibri" w:cs="Arial"/>
          <w:b/>
          <w:sz w:val="24"/>
          <w:szCs w:val="24"/>
          <w:lang w:eastAsia="en-US"/>
        </w:rPr>
      </w:pPr>
      <w:r>
        <w:rPr>
          <w:rFonts w:eastAsia="Calibri" w:cs="Arial"/>
          <w:b/>
          <w:sz w:val="24"/>
          <w:szCs w:val="24"/>
          <w:lang w:eastAsia="en-US"/>
        </w:rPr>
        <w:tab/>
      </w:r>
    </w:p>
    <w:tbl>
      <w:tblPr>
        <w:tblStyle w:val="TableGrid"/>
        <w:tblW w:w="4961" w:type="dxa"/>
        <w:tblInd w:w="775" w:type="dxa"/>
        <w:tblLook w:val="04A0" w:firstRow="1" w:lastRow="0" w:firstColumn="1" w:lastColumn="0" w:noHBand="0" w:noVBand="1"/>
      </w:tblPr>
      <w:tblGrid>
        <w:gridCol w:w="1559"/>
        <w:gridCol w:w="1560"/>
        <w:gridCol w:w="1842"/>
      </w:tblGrid>
      <w:tr w:rsidR="00BE73E2" w:rsidRPr="009B4256" w14:paraId="451AF327" w14:textId="77777777" w:rsidTr="00A2227E">
        <w:trPr>
          <w:trHeight w:val="315"/>
        </w:trPr>
        <w:tc>
          <w:tcPr>
            <w:tcW w:w="1559" w:type="dxa"/>
            <w:noWrap/>
            <w:hideMark/>
          </w:tcPr>
          <w:p w14:paraId="4FFE9543" w14:textId="77777777" w:rsidR="00BE73E2" w:rsidRPr="009B4256" w:rsidRDefault="00FE0559" w:rsidP="00A2227E">
            <w:pPr>
              <w:jc w:val="left"/>
              <w:rPr>
                <w:rFonts w:ascii="Calibri" w:hAnsi="Calibri"/>
                <w:color w:val="000000"/>
              </w:rPr>
            </w:pPr>
            <w:r>
              <w:rPr>
                <w:rFonts w:eastAsia="Calibri" w:cs="Arial"/>
                <w:b/>
                <w:sz w:val="24"/>
                <w:szCs w:val="24"/>
                <w:lang w:eastAsia="en-US"/>
              </w:rPr>
              <w:tab/>
            </w:r>
          </w:p>
        </w:tc>
        <w:tc>
          <w:tcPr>
            <w:tcW w:w="3402" w:type="dxa"/>
            <w:gridSpan w:val="2"/>
            <w:noWrap/>
            <w:hideMark/>
          </w:tcPr>
          <w:p w14:paraId="74B0FE5C" w14:textId="77777777" w:rsidR="00BE73E2" w:rsidRPr="009B4256" w:rsidRDefault="005827C2" w:rsidP="00A2227E">
            <w:pPr>
              <w:jc w:val="center"/>
              <w:rPr>
                <w:rFonts w:ascii="Calibri" w:hAnsi="Calibri"/>
                <w:b/>
                <w:bCs/>
                <w:color w:val="000000"/>
              </w:rPr>
            </w:pPr>
            <w:r>
              <w:rPr>
                <w:rFonts w:ascii="Calibri" w:hAnsi="Calibri"/>
                <w:b/>
                <w:bCs/>
                <w:color w:val="000000"/>
              </w:rPr>
              <w:t>Oct - Nov</w:t>
            </w:r>
          </w:p>
        </w:tc>
      </w:tr>
      <w:tr w:rsidR="00BE73E2" w:rsidRPr="009B4256" w14:paraId="0478730E" w14:textId="77777777" w:rsidTr="00A2227E">
        <w:trPr>
          <w:trHeight w:val="315"/>
        </w:trPr>
        <w:tc>
          <w:tcPr>
            <w:tcW w:w="1559" w:type="dxa"/>
            <w:noWrap/>
            <w:hideMark/>
          </w:tcPr>
          <w:p w14:paraId="35EEF004" w14:textId="77777777" w:rsidR="00BE73E2" w:rsidRPr="009B4256" w:rsidRDefault="00BE73E2" w:rsidP="00A2227E">
            <w:pPr>
              <w:jc w:val="center"/>
              <w:rPr>
                <w:rFonts w:ascii="Calibri" w:hAnsi="Calibri"/>
                <w:b/>
                <w:bCs/>
                <w:color w:val="000000"/>
              </w:rPr>
            </w:pPr>
            <w:r w:rsidRPr="009B4256">
              <w:rPr>
                <w:rFonts w:ascii="Calibri" w:hAnsi="Calibri"/>
                <w:b/>
                <w:bCs/>
                <w:color w:val="000000"/>
              </w:rPr>
              <w:t>Year</w:t>
            </w:r>
          </w:p>
        </w:tc>
        <w:tc>
          <w:tcPr>
            <w:tcW w:w="1560" w:type="dxa"/>
            <w:noWrap/>
            <w:hideMark/>
          </w:tcPr>
          <w:p w14:paraId="2A7AA2EB" w14:textId="77777777" w:rsidR="00BE73E2" w:rsidRPr="009B4256" w:rsidRDefault="00BE73E2" w:rsidP="00A2227E">
            <w:pPr>
              <w:jc w:val="center"/>
              <w:rPr>
                <w:rFonts w:ascii="Calibri" w:hAnsi="Calibri"/>
                <w:b/>
                <w:bCs/>
                <w:color w:val="000000"/>
              </w:rPr>
            </w:pPr>
            <w:r w:rsidRPr="009B4256">
              <w:rPr>
                <w:rFonts w:ascii="Calibri" w:hAnsi="Calibri"/>
                <w:b/>
                <w:bCs/>
                <w:color w:val="000000"/>
              </w:rPr>
              <w:t>Income</w:t>
            </w:r>
          </w:p>
        </w:tc>
        <w:tc>
          <w:tcPr>
            <w:tcW w:w="1842" w:type="dxa"/>
            <w:noWrap/>
            <w:hideMark/>
          </w:tcPr>
          <w:p w14:paraId="3DC8E691" w14:textId="77777777" w:rsidR="00B86F1E" w:rsidRDefault="00B86F1E" w:rsidP="00A2227E">
            <w:pPr>
              <w:jc w:val="center"/>
              <w:rPr>
                <w:rFonts w:ascii="Calibri" w:hAnsi="Calibri"/>
                <w:b/>
                <w:bCs/>
                <w:color w:val="000000"/>
              </w:rPr>
            </w:pPr>
            <w:r>
              <w:rPr>
                <w:rFonts w:ascii="Calibri" w:hAnsi="Calibri"/>
                <w:b/>
                <w:bCs/>
                <w:color w:val="000000"/>
              </w:rPr>
              <w:t>Year on Year</w:t>
            </w:r>
          </w:p>
          <w:p w14:paraId="5F42104E" w14:textId="77777777" w:rsidR="00BE73E2" w:rsidRPr="009B4256" w:rsidRDefault="00BE73E2" w:rsidP="00A2227E">
            <w:pPr>
              <w:jc w:val="center"/>
              <w:rPr>
                <w:rFonts w:ascii="Calibri" w:hAnsi="Calibri"/>
                <w:b/>
                <w:bCs/>
                <w:color w:val="000000"/>
              </w:rPr>
            </w:pPr>
            <w:r w:rsidRPr="009B4256">
              <w:rPr>
                <w:rFonts w:ascii="Calibri" w:hAnsi="Calibri"/>
                <w:b/>
                <w:bCs/>
                <w:color w:val="000000"/>
              </w:rPr>
              <w:t>% change</w:t>
            </w:r>
          </w:p>
        </w:tc>
      </w:tr>
      <w:tr w:rsidR="00BE73E2" w:rsidRPr="00A40C97" w14:paraId="5F9556F1" w14:textId="77777777" w:rsidTr="00A2227E">
        <w:trPr>
          <w:trHeight w:val="315"/>
        </w:trPr>
        <w:tc>
          <w:tcPr>
            <w:tcW w:w="1559" w:type="dxa"/>
            <w:noWrap/>
            <w:hideMark/>
          </w:tcPr>
          <w:p w14:paraId="1BE29716" w14:textId="77777777" w:rsidR="00BE73E2" w:rsidRPr="009B4256" w:rsidRDefault="00BE73E2" w:rsidP="00A2227E">
            <w:pPr>
              <w:jc w:val="center"/>
              <w:rPr>
                <w:rFonts w:ascii="Calibri" w:hAnsi="Calibri"/>
                <w:color w:val="000000"/>
              </w:rPr>
            </w:pPr>
            <w:r>
              <w:rPr>
                <w:rFonts w:ascii="Calibri" w:hAnsi="Calibri"/>
                <w:color w:val="000000"/>
              </w:rPr>
              <w:t>2019/20</w:t>
            </w:r>
          </w:p>
        </w:tc>
        <w:tc>
          <w:tcPr>
            <w:tcW w:w="1560" w:type="dxa"/>
            <w:shd w:val="clear" w:color="auto" w:fill="auto"/>
            <w:noWrap/>
          </w:tcPr>
          <w:p w14:paraId="5ECAE6E8" w14:textId="77777777" w:rsidR="00BE73E2" w:rsidRPr="00A40C97" w:rsidRDefault="00D92743" w:rsidP="00A2227E">
            <w:pPr>
              <w:jc w:val="center"/>
              <w:rPr>
                <w:rFonts w:ascii="Calibri" w:hAnsi="Calibri"/>
                <w:color w:val="000000"/>
              </w:rPr>
            </w:pPr>
            <w:r>
              <w:rPr>
                <w:rFonts w:ascii="Calibri" w:hAnsi="Calibri"/>
                <w:color w:val="000000"/>
              </w:rPr>
              <w:t>£10,413</w:t>
            </w:r>
          </w:p>
        </w:tc>
        <w:tc>
          <w:tcPr>
            <w:tcW w:w="1842" w:type="dxa"/>
            <w:shd w:val="clear" w:color="auto" w:fill="auto"/>
            <w:noWrap/>
          </w:tcPr>
          <w:p w14:paraId="290929CD" w14:textId="77777777" w:rsidR="00BE73E2" w:rsidRPr="00A40C97" w:rsidRDefault="00D92743" w:rsidP="00A2227E">
            <w:pPr>
              <w:jc w:val="center"/>
              <w:rPr>
                <w:rFonts w:ascii="Calibri" w:hAnsi="Calibri"/>
                <w:color w:val="000000"/>
              </w:rPr>
            </w:pPr>
            <w:r>
              <w:rPr>
                <w:rFonts w:ascii="Calibri" w:hAnsi="Calibri"/>
                <w:color w:val="000000"/>
              </w:rPr>
              <w:t>N/A</w:t>
            </w:r>
          </w:p>
        </w:tc>
      </w:tr>
      <w:tr w:rsidR="00BE73E2" w14:paraId="2EF3577A" w14:textId="77777777" w:rsidTr="00A2227E">
        <w:trPr>
          <w:trHeight w:val="315"/>
        </w:trPr>
        <w:tc>
          <w:tcPr>
            <w:tcW w:w="1559" w:type="dxa"/>
            <w:noWrap/>
          </w:tcPr>
          <w:p w14:paraId="7F354199" w14:textId="77777777" w:rsidR="00BE73E2" w:rsidRDefault="00BE73E2" w:rsidP="00A2227E">
            <w:pPr>
              <w:jc w:val="center"/>
              <w:rPr>
                <w:rFonts w:ascii="Calibri" w:hAnsi="Calibri"/>
                <w:color w:val="000000"/>
              </w:rPr>
            </w:pPr>
            <w:r>
              <w:rPr>
                <w:rFonts w:ascii="Calibri" w:hAnsi="Calibri"/>
                <w:color w:val="000000"/>
              </w:rPr>
              <w:t>2020/21</w:t>
            </w:r>
          </w:p>
        </w:tc>
        <w:tc>
          <w:tcPr>
            <w:tcW w:w="1560" w:type="dxa"/>
            <w:shd w:val="clear" w:color="auto" w:fill="auto"/>
            <w:noWrap/>
          </w:tcPr>
          <w:p w14:paraId="392299EC" w14:textId="77777777" w:rsidR="00BE73E2" w:rsidRPr="00C50BC8" w:rsidRDefault="00D92743" w:rsidP="00A2227E">
            <w:pPr>
              <w:tabs>
                <w:tab w:val="center" w:pos="672"/>
                <w:tab w:val="left" w:pos="1236"/>
              </w:tabs>
              <w:jc w:val="center"/>
              <w:rPr>
                <w:rFonts w:ascii="Calibri" w:hAnsi="Calibri"/>
                <w:color w:val="000000"/>
              </w:rPr>
            </w:pPr>
            <w:r>
              <w:rPr>
                <w:rFonts w:ascii="Calibri" w:hAnsi="Calibri"/>
                <w:color w:val="000000"/>
              </w:rPr>
              <w:t>£0</w:t>
            </w:r>
          </w:p>
        </w:tc>
        <w:tc>
          <w:tcPr>
            <w:tcW w:w="1842" w:type="dxa"/>
            <w:shd w:val="clear" w:color="auto" w:fill="auto"/>
            <w:noWrap/>
          </w:tcPr>
          <w:p w14:paraId="7F77B8A4" w14:textId="77777777" w:rsidR="00BE73E2" w:rsidRDefault="00745083" w:rsidP="00A2227E">
            <w:pPr>
              <w:jc w:val="center"/>
              <w:rPr>
                <w:rFonts w:ascii="Calibri" w:hAnsi="Calibri"/>
                <w:color w:val="000000"/>
              </w:rPr>
            </w:pPr>
            <w:r>
              <w:rPr>
                <w:rFonts w:ascii="Calibri" w:hAnsi="Calibri"/>
                <w:color w:val="000000"/>
              </w:rPr>
              <w:t>N/A</w:t>
            </w:r>
          </w:p>
        </w:tc>
      </w:tr>
      <w:tr w:rsidR="00BE73E2" w:rsidRPr="00C50BC8" w14:paraId="7E28C80D" w14:textId="77777777" w:rsidTr="00A2227E">
        <w:trPr>
          <w:trHeight w:val="315"/>
        </w:trPr>
        <w:tc>
          <w:tcPr>
            <w:tcW w:w="1559" w:type="dxa"/>
            <w:noWrap/>
            <w:hideMark/>
          </w:tcPr>
          <w:p w14:paraId="486FAC60" w14:textId="77777777" w:rsidR="00BE73E2" w:rsidRPr="009B4256" w:rsidRDefault="00BE73E2" w:rsidP="00A2227E">
            <w:pPr>
              <w:jc w:val="center"/>
              <w:rPr>
                <w:rFonts w:ascii="Calibri" w:hAnsi="Calibri"/>
                <w:color w:val="000000"/>
              </w:rPr>
            </w:pPr>
            <w:r>
              <w:rPr>
                <w:rFonts w:ascii="Calibri" w:hAnsi="Calibri"/>
                <w:color w:val="000000"/>
              </w:rPr>
              <w:t>2021/22</w:t>
            </w:r>
          </w:p>
        </w:tc>
        <w:tc>
          <w:tcPr>
            <w:tcW w:w="1560" w:type="dxa"/>
            <w:shd w:val="clear" w:color="auto" w:fill="auto"/>
            <w:noWrap/>
          </w:tcPr>
          <w:p w14:paraId="7F34BC88" w14:textId="77777777" w:rsidR="00BE73E2" w:rsidRPr="00C50BC8" w:rsidRDefault="00D92743" w:rsidP="00D92743">
            <w:pPr>
              <w:tabs>
                <w:tab w:val="center" w:pos="672"/>
                <w:tab w:val="left" w:pos="1236"/>
              </w:tabs>
              <w:jc w:val="center"/>
              <w:rPr>
                <w:rFonts w:ascii="Calibri" w:hAnsi="Calibri"/>
                <w:color w:val="000000"/>
              </w:rPr>
            </w:pPr>
            <w:r>
              <w:rPr>
                <w:rFonts w:ascii="Calibri" w:hAnsi="Calibri"/>
                <w:color w:val="000000"/>
              </w:rPr>
              <w:t>£3,472</w:t>
            </w:r>
          </w:p>
        </w:tc>
        <w:tc>
          <w:tcPr>
            <w:tcW w:w="1842" w:type="dxa"/>
            <w:shd w:val="clear" w:color="auto" w:fill="auto"/>
            <w:noWrap/>
          </w:tcPr>
          <w:p w14:paraId="2531AF8F" w14:textId="77777777" w:rsidR="00BE73E2" w:rsidRPr="00C50BC8" w:rsidRDefault="00745083" w:rsidP="00A2227E">
            <w:pPr>
              <w:jc w:val="center"/>
              <w:rPr>
                <w:rFonts w:ascii="Calibri" w:hAnsi="Calibri"/>
                <w:color w:val="000000"/>
              </w:rPr>
            </w:pPr>
            <w:r>
              <w:rPr>
                <w:rFonts w:ascii="Calibri" w:hAnsi="Calibri"/>
                <w:color w:val="000000"/>
              </w:rPr>
              <w:t>-66%</w:t>
            </w:r>
          </w:p>
        </w:tc>
      </w:tr>
    </w:tbl>
    <w:p w14:paraId="7D8FA962" w14:textId="77777777" w:rsidR="00BE73E2" w:rsidRDefault="00922A1B" w:rsidP="002A102F">
      <w:pPr>
        <w:ind w:left="720" w:hanging="720"/>
        <w:jc w:val="left"/>
        <w:rPr>
          <w:rFonts w:eastAsia="Calibri" w:cs="Arial"/>
          <w:sz w:val="24"/>
          <w:szCs w:val="24"/>
          <w:lang w:eastAsia="en-US"/>
        </w:rPr>
      </w:pPr>
      <w:r>
        <w:rPr>
          <w:rFonts w:eastAsia="Calibri" w:cs="Arial"/>
          <w:sz w:val="24"/>
          <w:szCs w:val="24"/>
          <w:lang w:eastAsia="en-US"/>
        </w:rPr>
        <w:t xml:space="preserve"> </w:t>
      </w:r>
    </w:p>
    <w:p w14:paraId="0B620ED0" w14:textId="77777777" w:rsidR="00C00524" w:rsidRDefault="009310CB" w:rsidP="002A102F">
      <w:pPr>
        <w:ind w:left="720" w:hanging="720"/>
        <w:jc w:val="left"/>
        <w:rPr>
          <w:rFonts w:eastAsia="Calibri" w:cs="Arial"/>
          <w:b/>
          <w:sz w:val="24"/>
          <w:szCs w:val="24"/>
          <w:lang w:eastAsia="en-US"/>
        </w:rPr>
      </w:pPr>
      <w:r>
        <w:rPr>
          <w:rFonts w:eastAsia="Calibri" w:cs="Arial"/>
          <w:b/>
          <w:sz w:val="24"/>
          <w:szCs w:val="24"/>
          <w:lang w:eastAsia="en-US"/>
        </w:rPr>
        <w:t>7.</w:t>
      </w:r>
      <w:r>
        <w:rPr>
          <w:rFonts w:eastAsia="Calibri" w:cs="Arial"/>
          <w:b/>
          <w:sz w:val="24"/>
          <w:szCs w:val="24"/>
          <w:lang w:eastAsia="en-US"/>
        </w:rPr>
        <w:tab/>
      </w:r>
      <w:r w:rsidR="0059767C" w:rsidRPr="008B4255">
        <w:rPr>
          <w:rFonts w:eastAsia="Calibri" w:cs="Arial"/>
          <w:b/>
          <w:sz w:val="24"/>
          <w:szCs w:val="24"/>
          <w:lang w:eastAsia="en-US"/>
        </w:rPr>
        <w:t>FOOTFALL</w:t>
      </w:r>
    </w:p>
    <w:p w14:paraId="4BDEFEEE" w14:textId="77777777" w:rsidR="007E5565" w:rsidRDefault="007E5565" w:rsidP="002A102F">
      <w:pPr>
        <w:ind w:left="720" w:hanging="720"/>
        <w:jc w:val="left"/>
        <w:rPr>
          <w:rFonts w:eastAsia="Calibri" w:cs="Arial"/>
          <w:b/>
          <w:sz w:val="24"/>
          <w:szCs w:val="24"/>
          <w:lang w:eastAsia="en-US"/>
        </w:rPr>
      </w:pPr>
    </w:p>
    <w:p w14:paraId="44E6C13C" w14:textId="77777777" w:rsidR="007E5565" w:rsidRDefault="00913AE0" w:rsidP="006F7D22">
      <w:pPr>
        <w:ind w:left="720" w:hanging="720"/>
        <w:jc w:val="left"/>
        <w:rPr>
          <w:rFonts w:eastAsia="Calibri" w:cs="Arial"/>
          <w:sz w:val="24"/>
          <w:szCs w:val="24"/>
          <w:lang w:eastAsia="en-US"/>
        </w:rPr>
      </w:pPr>
      <w:r>
        <w:rPr>
          <w:rFonts w:eastAsia="Calibri" w:cs="Arial"/>
          <w:b/>
          <w:sz w:val="24"/>
          <w:szCs w:val="24"/>
          <w:lang w:eastAsia="en-US"/>
        </w:rPr>
        <w:tab/>
      </w:r>
      <w:r w:rsidR="006F7D22">
        <w:rPr>
          <w:rFonts w:eastAsia="Calibri" w:cs="Arial"/>
          <w:sz w:val="24"/>
          <w:szCs w:val="24"/>
          <w:lang w:eastAsia="en-US"/>
        </w:rPr>
        <w:t xml:space="preserve">Please see Appendix 1 attached for the footfall information for this quarter. </w:t>
      </w:r>
    </w:p>
    <w:p w14:paraId="638FED4B" w14:textId="77777777" w:rsidR="00390D39" w:rsidRDefault="00390D39" w:rsidP="006F7D22">
      <w:pPr>
        <w:ind w:left="720" w:hanging="720"/>
        <w:jc w:val="left"/>
        <w:rPr>
          <w:rFonts w:eastAsia="Calibri" w:cs="Arial"/>
          <w:sz w:val="24"/>
          <w:szCs w:val="24"/>
          <w:lang w:eastAsia="en-US"/>
        </w:rPr>
      </w:pPr>
    </w:p>
    <w:p w14:paraId="238F2F90" w14:textId="77777777" w:rsidR="00390D39" w:rsidRPr="006F7D22" w:rsidRDefault="00390D39" w:rsidP="006F7D22">
      <w:pPr>
        <w:ind w:left="720" w:hanging="720"/>
        <w:jc w:val="left"/>
        <w:rPr>
          <w:rFonts w:eastAsia="Calibri" w:cs="Arial"/>
          <w:sz w:val="24"/>
          <w:szCs w:val="24"/>
          <w:lang w:eastAsia="en-US"/>
        </w:rPr>
      </w:pPr>
      <w:r>
        <w:rPr>
          <w:rFonts w:eastAsia="Calibri" w:cs="Arial"/>
          <w:sz w:val="24"/>
          <w:szCs w:val="24"/>
          <w:lang w:eastAsia="en-US"/>
        </w:rPr>
        <w:tab/>
      </w:r>
      <w:r w:rsidR="00922A1B" w:rsidRPr="00922A1B">
        <w:rPr>
          <w:rFonts w:eastAsia="Calibri" w:cs="Arial"/>
          <w:sz w:val="24"/>
          <w:szCs w:val="24"/>
          <w:lang w:eastAsia="en-US"/>
        </w:rPr>
        <w:t>Footfall was higher by 38</w:t>
      </w:r>
      <w:r w:rsidRPr="00922A1B">
        <w:rPr>
          <w:rFonts w:eastAsia="Calibri" w:cs="Arial"/>
          <w:sz w:val="24"/>
          <w:szCs w:val="24"/>
          <w:lang w:eastAsia="en-US"/>
        </w:rPr>
        <w:t>% in this quarter when com</w:t>
      </w:r>
      <w:r w:rsidR="00922A1B" w:rsidRPr="00922A1B">
        <w:rPr>
          <w:rFonts w:eastAsia="Calibri" w:cs="Arial"/>
          <w:sz w:val="24"/>
          <w:szCs w:val="24"/>
          <w:lang w:eastAsia="en-US"/>
        </w:rPr>
        <w:t>pared to the same period in 2020/21</w:t>
      </w:r>
      <w:r w:rsidRPr="00922A1B">
        <w:rPr>
          <w:rFonts w:eastAsia="Calibri" w:cs="Arial"/>
          <w:sz w:val="24"/>
          <w:szCs w:val="24"/>
          <w:lang w:eastAsia="en-US"/>
        </w:rPr>
        <w:t xml:space="preserve"> due to </w:t>
      </w:r>
      <w:r w:rsidR="00922A1B" w:rsidRPr="00922A1B">
        <w:rPr>
          <w:rFonts w:eastAsia="Calibri" w:cs="Arial"/>
          <w:sz w:val="24"/>
          <w:szCs w:val="24"/>
          <w:lang w:eastAsia="en-US"/>
        </w:rPr>
        <w:t>implementation of lockdown 2 during November. However, when compared to the same period in 2019/20 prior to Covid there is a</w:t>
      </w:r>
      <w:r w:rsidR="00B86F1E">
        <w:rPr>
          <w:rFonts w:eastAsia="Calibri" w:cs="Arial"/>
          <w:sz w:val="24"/>
          <w:szCs w:val="24"/>
          <w:lang w:eastAsia="en-US"/>
        </w:rPr>
        <w:t>n</w:t>
      </w:r>
      <w:r w:rsidR="00922A1B" w:rsidRPr="00922A1B">
        <w:rPr>
          <w:rFonts w:eastAsia="Calibri" w:cs="Arial"/>
          <w:sz w:val="24"/>
          <w:szCs w:val="24"/>
          <w:lang w:eastAsia="en-US"/>
        </w:rPr>
        <w:t xml:space="preserve"> 18% decrease in footfall.</w:t>
      </w:r>
    </w:p>
    <w:p w14:paraId="47206E92" w14:textId="707FF48E" w:rsidR="00C367F3" w:rsidRDefault="00C367F3" w:rsidP="002A102F">
      <w:pPr>
        <w:ind w:left="720" w:hanging="720"/>
        <w:jc w:val="left"/>
        <w:rPr>
          <w:rFonts w:eastAsia="Calibri" w:cs="Arial"/>
          <w:sz w:val="24"/>
          <w:szCs w:val="24"/>
          <w:lang w:eastAsia="en-US"/>
        </w:rPr>
      </w:pPr>
    </w:p>
    <w:p w14:paraId="77D5E5B7" w14:textId="63DAA0AE" w:rsidR="00252187" w:rsidRDefault="00252187" w:rsidP="002A102F">
      <w:pPr>
        <w:ind w:left="720" w:hanging="720"/>
        <w:jc w:val="left"/>
        <w:rPr>
          <w:rFonts w:eastAsia="Calibri" w:cs="Arial"/>
          <w:sz w:val="24"/>
          <w:szCs w:val="24"/>
          <w:lang w:eastAsia="en-US"/>
        </w:rPr>
      </w:pPr>
    </w:p>
    <w:p w14:paraId="55530F26" w14:textId="6E78F9C5" w:rsidR="00252187" w:rsidRDefault="00252187" w:rsidP="002A102F">
      <w:pPr>
        <w:ind w:left="720" w:hanging="720"/>
        <w:jc w:val="left"/>
        <w:rPr>
          <w:rFonts w:eastAsia="Calibri" w:cs="Arial"/>
          <w:sz w:val="24"/>
          <w:szCs w:val="24"/>
          <w:lang w:eastAsia="en-US"/>
        </w:rPr>
      </w:pPr>
    </w:p>
    <w:p w14:paraId="3212FA05" w14:textId="1D0E6A9C" w:rsidR="00252187" w:rsidRDefault="00252187" w:rsidP="002A102F">
      <w:pPr>
        <w:ind w:left="720" w:hanging="720"/>
        <w:jc w:val="left"/>
        <w:rPr>
          <w:rFonts w:eastAsia="Calibri" w:cs="Arial"/>
          <w:sz w:val="24"/>
          <w:szCs w:val="24"/>
          <w:lang w:eastAsia="en-US"/>
        </w:rPr>
      </w:pPr>
    </w:p>
    <w:p w14:paraId="4D1C9F83" w14:textId="77777777" w:rsidR="00252187" w:rsidRDefault="00252187" w:rsidP="002A102F">
      <w:pPr>
        <w:ind w:left="720" w:hanging="720"/>
        <w:jc w:val="left"/>
        <w:rPr>
          <w:rFonts w:eastAsia="Calibri" w:cs="Arial"/>
          <w:sz w:val="24"/>
          <w:szCs w:val="24"/>
          <w:lang w:eastAsia="en-US"/>
        </w:rPr>
      </w:pPr>
    </w:p>
    <w:p w14:paraId="423EA6EA" w14:textId="77777777" w:rsidR="00362520" w:rsidRDefault="00C36504" w:rsidP="002A102F">
      <w:pPr>
        <w:ind w:left="720" w:hanging="720"/>
        <w:jc w:val="left"/>
        <w:rPr>
          <w:rFonts w:eastAsia="Calibri" w:cs="Arial"/>
          <w:sz w:val="24"/>
          <w:szCs w:val="24"/>
          <w:lang w:eastAsia="en-US"/>
        </w:rPr>
      </w:pPr>
      <w:r>
        <w:rPr>
          <w:rFonts w:eastAsia="Calibri" w:cs="Arial"/>
          <w:b/>
          <w:sz w:val="24"/>
          <w:szCs w:val="24"/>
          <w:lang w:eastAsia="en-US"/>
        </w:rPr>
        <w:t>8.</w:t>
      </w:r>
      <w:r>
        <w:rPr>
          <w:rFonts w:eastAsia="Calibri" w:cs="Arial"/>
          <w:b/>
          <w:sz w:val="24"/>
          <w:szCs w:val="24"/>
          <w:lang w:eastAsia="en-US"/>
        </w:rPr>
        <w:tab/>
      </w:r>
      <w:r w:rsidRPr="00285E5E">
        <w:rPr>
          <w:rFonts w:eastAsia="Calibri" w:cs="Arial"/>
          <w:b/>
          <w:sz w:val="24"/>
          <w:szCs w:val="24"/>
          <w:lang w:eastAsia="en-US"/>
        </w:rPr>
        <w:t>WELCOME BACK FUND</w:t>
      </w:r>
    </w:p>
    <w:p w14:paraId="78962A9B" w14:textId="77777777" w:rsidR="00362520" w:rsidRDefault="00362520" w:rsidP="002A102F">
      <w:pPr>
        <w:ind w:left="720" w:hanging="720"/>
        <w:jc w:val="left"/>
        <w:rPr>
          <w:rFonts w:eastAsia="Calibri" w:cs="Arial"/>
          <w:sz w:val="24"/>
          <w:szCs w:val="24"/>
          <w:lang w:eastAsia="en-US"/>
        </w:rPr>
      </w:pPr>
    </w:p>
    <w:p w14:paraId="33ED8714" w14:textId="77777777" w:rsidR="00CF6BC7" w:rsidRDefault="00362520" w:rsidP="00DF5EFE">
      <w:pPr>
        <w:ind w:left="720" w:hanging="720"/>
        <w:jc w:val="left"/>
        <w:rPr>
          <w:rFonts w:eastAsia="Calibri" w:cs="Arial"/>
          <w:sz w:val="24"/>
          <w:szCs w:val="24"/>
          <w:lang w:eastAsia="en-US"/>
        </w:rPr>
      </w:pPr>
      <w:r>
        <w:rPr>
          <w:rFonts w:eastAsia="Calibri" w:cs="Arial"/>
          <w:sz w:val="24"/>
          <w:szCs w:val="24"/>
          <w:lang w:eastAsia="en-US"/>
        </w:rPr>
        <w:tab/>
      </w:r>
      <w:r w:rsidR="00DF5EFE">
        <w:rPr>
          <w:rFonts w:eastAsia="Calibri" w:cs="Arial"/>
          <w:sz w:val="24"/>
          <w:szCs w:val="24"/>
          <w:lang w:eastAsia="en-US"/>
        </w:rPr>
        <w:t>The Welcome Back Fund activity plan was accepted and work has started to implement the work highlighted in the report.</w:t>
      </w:r>
    </w:p>
    <w:p w14:paraId="371A118E" w14:textId="507C6543" w:rsidR="00B7381A" w:rsidRDefault="00DF5EFE" w:rsidP="00DF5EFE">
      <w:pPr>
        <w:ind w:left="720" w:hanging="720"/>
        <w:jc w:val="left"/>
        <w:rPr>
          <w:rFonts w:eastAsia="Calibri" w:cs="Arial"/>
          <w:sz w:val="24"/>
          <w:szCs w:val="24"/>
          <w:lang w:eastAsia="en-US"/>
        </w:rPr>
      </w:pPr>
      <w:r>
        <w:rPr>
          <w:rFonts w:eastAsia="Calibri" w:cs="Arial"/>
          <w:sz w:val="24"/>
          <w:szCs w:val="24"/>
          <w:lang w:eastAsia="en-US"/>
        </w:rPr>
        <w:tab/>
      </w:r>
    </w:p>
    <w:p w14:paraId="21BD5951" w14:textId="5E20514F" w:rsidR="00DF5EFE" w:rsidRDefault="00252187" w:rsidP="00DF5EFE">
      <w:pPr>
        <w:ind w:left="720" w:hanging="720"/>
        <w:jc w:val="left"/>
        <w:rPr>
          <w:rFonts w:eastAsia="Calibri" w:cs="Arial"/>
          <w:sz w:val="24"/>
          <w:szCs w:val="24"/>
          <w:lang w:eastAsia="en-US"/>
        </w:rPr>
      </w:pPr>
      <w:r>
        <w:rPr>
          <w:rFonts w:eastAsia="Calibri" w:cs="Arial"/>
          <w:sz w:val="24"/>
          <w:szCs w:val="24"/>
          <w:lang w:eastAsia="en-US"/>
        </w:rPr>
        <w:tab/>
      </w:r>
      <w:r w:rsidR="00DF5EFE">
        <w:rPr>
          <w:rFonts w:eastAsia="Calibri" w:cs="Arial"/>
          <w:sz w:val="24"/>
          <w:szCs w:val="24"/>
          <w:lang w:eastAsia="en-US"/>
        </w:rPr>
        <w:t>To date the following activities have been funded through this project:-</w:t>
      </w:r>
    </w:p>
    <w:p w14:paraId="78182EBF" w14:textId="77777777" w:rsidR="00DF5EFE" w:rsidRDefault="00DF5EFE" w:rsidP="00DF5EFE">
      <w:pPr>
        <w:ind w:left="720" w:hanging="720"/>
        <w:jc w:val="left"/>
        <w:rPr>
          <w:rFonts w:eastAsia="Calibri" w:cs="Arial"/>
          <w:sz w:val="24"/>
          <w:szCs w:val="24"/>
          <w:lang w:eastAsia="en-US"/>
        </w:rPr>
      </w:pPr>
    </w:p>
    <w:p w14:paraId="52C649AD"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Covid Ambassadors – up to the end of September.</w:t>
      </w:r>
    </w:p>
    <w:p w14:paraId="1C054818"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Public awareness campaigns, including banners, floor markers, lamp post signs, bollard covers, flags and window vinyls for empty shops.</w:t>
      </w:r>
    </w:p>
    <w:p w14:paraId="11AB76D2" w14:textId="586BC924"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Repair and fitting of new closing mechanism to Clerkson’s Alley gates to deter ASB</w:t>
      </w:r>
      <w:r w:rsidR="00E44390">
        <w:rPr>
          <w:rFonts w:eastAsia="Calibri" w:cs="Arial"/>
          <w:sz w:val="24"/>
          <w:szCs w:val="24"/>
          <w:lang w:eastAsia="en-US"/>
        </w:rPr>
        <w:t xml:space="preserve"> and support the Safer Streets project.</w:t>
      </w:r>
    </w:p>
    <w:p w14:paraId="79FA0F4E"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Walkabout entertainers in the town c</w:t>
      </w:r>
      <w:r w:rsidR="00FE185C">
        <w:rPr>
          <w:rFonts w:eastAsia="Calibri" w:cs="Arial"/>
          <w:sz w:val="24"/>
          <w:szCs w:val="24"/>
          <w:lang w:eastAsia="en-US"/>
        </w:rPr>
        <w:t>entre scheduled to the end of March 2022.</w:t>
      </w:r>
    </w:p>
    <w:p w14:paraId="092A2C4F"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Hire of light tunnel to enhance the Christmas offer.</w:t>
      </w:r>
    </w:p>
    <w:p w14:paraId="31F287AD" w14:textId="77777777" w:rsidR="00FE185C" w:rsidRPr="00B86F1E" w:rsidRDefault="00FE185C" w:rsidP="00B86F1E">
      <w:pPr>
        <w:pStyle w:val="ListParagraph"/>
        <w:numPr>
          <w:ilvl w:val="0"/>
          <w:numId w:val="40"/>
        </w:numPr>
        <w:jc w:val="left"/>
        <w:rPr>
          <w:rFonts w:eastAsia="Calibri" w:cs="Arial"/>
          <w:sz w:val="24"/>
          <w:szCs w:val="24"/>
          <w:lang w:eastAsia="en-US"/>
        </w:rPr>
      </w:pPr>
      <w:r>
        <w:rPr>
          <w:rFonts w:eastAsia="Calibri" w:cs="Arial"/>
          <w:sz w:val="24"/>
          <w:szCs w:val="24"/>
          <w:lang w:eastAsia="en-US"/>
        </w:rPr>
        <w:t>Security for the light tunnel on key target dates to prevent damage.</w:t>
      </w:r>
    </w:p>
    <w:p w14:paraId="404BBB6F"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 xml:space="preserve">Provision of snow globes for Warsop, Pleasley, Ladybrook, Oak Tree and Bellamy Road estates to enhance their </w:t>
      </w:r>
      <w:r w:rsidR="00FE185C">
        <w:rPr>
          <w:rFonts w:eastAsia="Calibri" w:cs="Arial"/>
          <w:sz w:val="24"/>
          <w:szCs w:val="24"/>
          <w:lang w:eastAsia="en-US"/>
        </w:rPr>
        <w:t xml:space="preserve">festive </w:t>
      </w:r>
      <w:r>
        <w:rPr>
          <w:rFonts w:eastAsia="Calibri" w:cs="Arial"/>
          <w:sz w:val="24"/>
          <w:szCs w:val="24"/>
          <w:lang w:eastAsia="en-US"/>
        </w:rPr>
        <w:t>events.</w:t>
      </w:r>
    </w:p>
    <w:p w14:paraId="34626505" w14:textId="77777777" w:rsidR="00FE185C" w:rsidRDefault="00FE185C"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Financial support for the Winter Festival event held in Titchfield Park.</w:t>
      </w:r>
    </w:p>
    <w:p w14:paraId="3DCA4689"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Repair and refurbish</w:t>
      </w:r>
      <w:r w:rsidR="00B86F1E">
        <w:rPr>
          <w:rFonts w:eastAsia="Calibri" w:cs="Arial"/>
          <w:sz w:val="24"/>
          <w:szCs w:val="24"/>
          <w:lang w:eastAsia="en-US"/>
        </w:rPr>
        <w:t>ment</w:t>
      </w:r>
      <w:r>
        <w:rPr>
          <w:rFonts w:eastAsia="Calibri" w:cs="Arial"/>
          <w:sz w:val="24"/>
          <w:szCs w:val="24"/>
          <w:lang w:eastAsia="en-US"/>
        </w:rPr>
        <w:t xml:space="preserve"> of ‘Centre of Sherwood Forest</w:t>
      </w:r>
      <w:r w:rsidR="005A3095">
        <w:rPr>
          <w:rFonts w:eastAsia="Calibri" w:cs="Arial"/>
          <w:sz w:val="24"/>
          <w:szCs w:val="24"/>
          <w:lang w:eastAsia="en-US"/>
        </w:rPr>
        <w:t>’ plaque and p</w:t>
      </w:r>
      <w:r>
        <w:rPr>
          <w:rFonts w:eastAsia="Calibri" w:cs="Arial"/>
          <w:sz w:val="24"/>
          <w:szCs w:val="24"/>
          <w:lang w:eastAsia="en-US"/>
        </w:rPr>
        <w:t>linth (work in progress).</w:t>
      </w:r>
    </w:p>
    <w:p w14:paraId="1400C7D2"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Removal of poster point and barrier on Stockwell Gate / Queen Street</w:t>
      </w:r>
      <w:r w:rsidR="00FE185C">
        <w:rPr>
          <w:rFonts w:eastAsia="Calibri" w:cs="Arial"/>
          <w:sz w:val="24"/>
          <w:szCs w:val="24"/>
          <w:lang w:eastAsia="en-US"/>
        </w:rPr>
        <w:t>.</w:t>
      </w:r>
    </w:p>
    <w:p w14:paraId="7CFE72CA" w14:textId="77777777" w:rsidR="00DF5EFE" w:rsidRDefault="00DF5EFE"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Quotes obtained for painting of street furniture including benches, lamp posts etc. – work to</w:t>
      </w:r>
      <w:r w:rsidR="00B86F1E">
        <w:rPr>
          <w:rFonts w:eastAsia="Calibri" w:cs="Arial"/>
          <w:sz w:val="24"/>
          <w:szCs w:val="24"/>
          <w:lang w:eastAsia="en-US"/>
        </w:rPr>
        <w:t xml:space="preserve"> be carried out in early Spring 2022.</w:t>
      </w:r>
    </w:p>
    <w:p w14:paraId="4886B5BB" w14:textId="77777777" w:rsidR="00940D0B" w:rsidRDefault="00940D0B"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Repairing slabs and procurement of deep cl</w:t>
      </w:r>
      <w:r w:rsidR="00B86F1E">
        <w:rPr>
          <w:rFonts w:eastAsia="Calibri" w:cs="Arial"/>
          <w:sz w:val="24"/>
          <w:szCs w:val="24"/>
          <w:lang w:eastAsia="en-US"/>
        </w:rPr>
        <w:t xml:space="preserve">ean for the ticket office area </w:t>
      </w:r>
      <w:r>
        <w:rPr>
          <w:rFonts w:eastAsia="Calibri" w:cs="Arial"/>
          <w:sz w:val="24"/>
          <w:szCs w:val="24"/>
          <w:lang w:eastAsia="en-US"/>
        </w:rPr>
        <w:t>o</w:t>
      </w:r>
      <w:r w:rsidR="00B86F1E">
        <w:rPr>
          <w:rFonts w:eastAsia="Calibri" w:cs="Arial"/>
          <w:sz w:val="24"/>
          <w:szCs w:val="24"/>
          <w:lang w:eastAsia="en-US"/>
        </w:rPr>
        <w:t>f</w:t>
      </w:r>
      <w:r>
        <w:rPr>
          <w:rFonts w:eastAsia="Calibri" w:cs="Arial"/>
          <w:sz w:val="24"/>
          <w:szCs w:val="24"/>
          <w:lang w:eastAsia="en-US"/>
        </w:rPr>
        <w:t xml:space="preserve"> Mansfield </w:t>
      </w:r>
      <w:r w:rsidR="00B86F1E">
        <w:rPr>
          <w:rFonts w:eastAsia="Calibri" w:cs="Arial"/>
          <w:sz w:val="24"/>
          <w:szCs w:val="24"/>
          <w:lang w:eastAsia="en-US"/>
        </w:rPr>
        <w:t>Railway</w:t>
      </w:r>
      <w:r>
        <w:rPr>
          <w:rFonts w:eastAsia="Calibri" w:cs="Arial"/>
          <w:sz w:val="24"/>
          <w:szCs w:val="24"/>
          <w:lang w:eastAsia="en-US"/>
        </w:rPr>
        <w:t xml:space="preserve"> Station to support re-opening to passengers.</w:t>
      </w:r>
    </w:p>
    <w:p w14:paraId="72F694A2" w14:textId="77777777" w:rsidR="00FE185C" w:rsidRDefault="00FE185C"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 xml:space="preserve">Awaiting quote for repair to cobbles in front of Mansfield </w:t>
      </w:r>
      <w:r w:rsidR="00B86F1E">
        <w:rPr>
          <w:rFonts w:eastAsia="Calibri" w:cs="Arial"/>
          <w:sz w:val="24"/>
          <w:szCs w:val="24"/>
          <w:lang w:eastAsia="en-US"/>
        </w:rPr>
        <w:t>Railway</w:t>
      </w:r>
      <w:r>
        <w:rPr>
          <w:rFonts w:eastAsia="Calibri" w:cs="Arial"/>
          <w:sz w:val="24"/>
          <w:szCs w:val="24"/>
          <w:lang w:eastAsia="en-US"/>
        </w:rPr>
        <w:t xml:space="preserve"> Station ticket office / waiting room.</w:t>
      </w:r>
    </w:p>
    <w:p w14:paraId="78B0F28D" w14:textId="77777777" w:rsidR="00FE185C" w:rsidRPr="003F361A" w:rsidRDefault="00FE185C" w:rsidP="003F361A">
      <w:pPr>
        <w:pStyle w:val="ListParagraph"/>
        <w:numPr>
          <w:ilvl w:val="0"/>
          <w:numId w:val="40"/>
        </w:numPr>
        <w:jc w:val="left"/>
        <w:rPr>
          <w:rFonts w:eastAsia="Calibri" w:cs="Arial"/>
          <w:sz w:val="24"/>
          <w:szCs w:val="24"/>
          <w:lang w:eastAsia="en-US"/>
        </w:rPr>
      </w:pPr>
      <w:r>
        <w:rPr>
          <w:rFonts w:eastAsia="Calibri" w:cs="Arial"/>
          <w:sz w:val="24"/>
          <w:szCs w:val="24"/>
          <w:lang w:eastAsia="en-US"/>
        </w:rPr>
        <w:t xml:space="preserve">Cost of deep clean of ticket office at Mansfield </w:t>
      </w:r>
      <w:r w:rsidR="00B86F1E">
        <w:rPr>
          <w:rFonts w:eastAsia="Calibri" w:cs="Arial"/>
          <w:sz w:val="24"/>
          <w:szCs w:val="24"/>
          <w:lang w:eastAsia="en-US"/>
        </w:rPr>
        <w:t>Railway</w:t>
      </w:r>
      <w:r>
        <w:rPr>
          <w:rFonts w:eastAsia="Calibri" w:cs="Arial"/>
          <w:sz w:val="24"/>
          <w:szCs w:val="24"/>
          <w:lang w:eastAsia="en-US"/>
        </w:rPr>
        <w:t xml:space="preserve"> Station to facilitate re-opening.</w:t>
      </w:r>
    </w:p>
    <w:p w14:paraId="3755F40C" w14:textId="77777777" w:rsidR="00940D0B" w:rsidRDefault="00940D0B"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Provision of Christmas lighting for Warsop and Pleasley.</w:t>
      </w:r>
    </w:p>
    <w:p w14:paraId="77804EB1" w14:textId="77777777" w:rsidR="003F361A" w:rsidRPr="00DF5EFE" w:rsidRDefault="003F361A" w:rsidP="00DF5EFE">
      <w:pPr>
        <w:pStyle w:val="ListParagraph"/>
        <w:numPr>
          <w:ilvl w:val="0"/>
          <w:numId w:val="40"/>
        </w:numPr>
        <w:jc w:val="left"/>
        <w:rPr>
          <w:rFonts w:eastAsia="Calibri" w:cs="Arial"/>
          <w:sz w:val="24"/>
          <w:szCs w:val="24"/>
          <w:lang w:eastAsia="en-US"/>
        </w:rPr>
      </w:pPr>
      <w:r>
        <w:rPr>
          <w:rFonts w:eastAsia="Calibri" w:cs="Arial"/>
          <w:sz w:val="24"/>
          <w:szCs w:val="24"/>
          <w:lang w:eastAsia="en-US"/>
        </w:rPr>
        <w:t>Awaiting quote for clearing banking in ‘Tesco Valley’ to enable re-planting to support Urban Greening Project.</w:t>
      </w:r>
    </w:p>
    <w:p w14:paraId="1057D071" w14:textId="77777777" w:rsidR="00DF5EFE" w:rsidRDefault="00DF5EFE" w:rsidP="00DF5EFE">
      <w:pPr>
        <w:ind w:left="720" w:hanging="720"/>
        <w:jc w:val="left"/>
        <w:rPr>
          <w:rFonts w:eastAsia="Calibri" w:cs="Arial"/>
          <w:sz w:val="24"/>
          <w:szCs w:val="24"/>
          <w:lang w:eastAsia="en-US"/>
        </w:rPr>
      </w:pPr>
    </w:p>
    <w:p w14:paraId="13E44782" w14:textId="77777777" w:rsidR="00CF6BC7" w:rsidRDefault="00DF5EFE" w:rsidP="00C36504">
      <w:pPr>
        <w:ind w:left="720" w:hanging="720"/>
        <w:jc w:val="left"/>
        <w:rPr>
          <w:rFonts w:eastAsia="Calibri" w:cs="Arial"/>
          <w:sz w:val="24"/>
          <w:szCs w:val="24"/>
          <w:lang w:eastAsia="en-US"/>
        </w:rPr>
      </w:pPr>
      <w:r>
        <w:rPr>
          <w:rFonts w:eastAsia="Calibri" w:cs="Arial"/>
          <w:sz w:val="24"/>
          <w:szCs w:val="24"/>
          <w:lang w:eastAsia="en-US"/>
        </w:rPr>
        <w:tab/>
      </w:r>
      <w:r w:rsidR="00940D0B">
        <w:rPr>
          <w:rFonts w:eastAsia="Calibri" w:cs="Arial"/>
          <w:sz w:val="24"/>
          <w:szCs w:val="24"/>
          <w:lang w:eastAsia="en-US"/>
        </w:rPr>
        <w:t>As stated previously t</w:t>
      </w:r>
      <w:r w:rsidR="00CF6BC7">
        <w:rPr>
          <w:rFonts w:eastAsia="Calibri" w:cs="Arial"/>
          <w:sz w:val="24"/>
          <w:szCs w:val="24"/>
          <w:lang w:eastAsia="en-US"/>
        </w:rPr>
        <w:t>he paramete</w:t>
      </w:r>
      <w:r w:rsidR="00940D0B">
        <w:rPr>
          <w:rFonts w:eastAsia="Calibri" w:cs="Arial"/>
          <w:sz w:val="24"/>
          <w:szCs w:val="24"/>
          <w:lang w:eastAsia="en-US"/>
        </w:rPr>
        <w:t>rs for how the money is spent is</w:t>
      </w:r>
      <w:r w:rsidR="00CF6BC7">
        <w:rPr>
          <w:rFonts w:eastAsia="Calibri" w:cs="Arial"/>
          <w:sz w:val="24"/>
          <w:szCs w:val="24"/>
          <w:lang w:eastAsia="en-US"/>
        </w:rPr>
        <w:t xml:space="preserve"> quite restrictive and can include repairs, beautification, temporary installations or events, signage, business support etc. but it cannot be used to gain a permanent asset.</w:t>
      </w:r>
    </w:p>
    <w:p w14:paraId="37981281" w14:textId="77777777" w:rsidR="00362520" w:rsidRDefault="00CF6BC7" w:rsidP="002A102F">
      <w:pPr>
        <w:ind w:left="720" w:hanging="720"/>
        <w:jc w:val="left"/>
        <w:rPr>
          <w:rFonts w:eastAsia="Calibri" w:cs="Arial"/>
          <w:sz w:val="24"/>
          <w:szCs w:val="24"/>
          <w:lang w:eastAsia="en-US"/>
        </w:rPr>
      </w:pPr>
      <w:r>
        <w:rPr>
          <w:rFonts w:eastAsia="Calibri" w:cs="Arial"/>
          <w:sz w:val="24"/>
          <w:szCs w:val="24"/>
          <w:lang w:eastAsia="en-US"/>
        </w:rPr>
        <w:tab/>
      </w:r>
    </w:p>
    <w:p w14:paraId="600AB541" w14:textId="77777777" w:rsidR="009325ED" w:rsidRDefault="00BC5D07" w:rsidP="002A102F">
      <w:pPr>
        <w:ind w:left="720" w:hanging="720"/>
        <w:jc w:val="left"/>
        <w:rPr>
          <w:rFonts w:eastAsia="Calibri" w:cs="Arial"/>
          <w:sz w:val="24"/>
          <w:szCs w:val="24"/>
          <w:lang w:eastAsia="en-US"/>
        </w:rPr>
      </w:pPr>
      <w:r>
        <w:rPr>
          <w:rFonts w:eastAsia="Calibri" w:cs="Arial"/>
          <w:b/>
          <w:sz w:val="24"/>
          <w:szCs w:val="24"/>
          <w:lang w:eastAsia="en-US"/>
        </w:rPr>
        <w:t>9</w:t>
      </w:r>
      <w:r w:rsidR="009325ED">
        <w:rPr>
          <w:rFonts w:eastAsia="Calibri" w:cs="Arial"/>
          <w:b/>
          <w:sz w:val="24"/>
          <w:szCs w:val="24"/>
          <w:lang w:eastAsia="en-US"/>
        </w:rPr>
        <w:t>.</w:t>
      </w:r>
      <w:r w:rsidR="009325ED">
        <w:rPr>
          <w:rFonts w:eastAsia="Calibri" w:cs="Arial"/>
          <w:b/>
          <w:sz w:val="24"/>
          <w:szCs w:val="24"/>
          <w:lang w:eastAsia="en-US"/>
        </w:rPr>
        <w:tab/>
      </w:r>
      <w:r w:rsidR="009325ED" w:rsidRPr="00DB18DB">
        <w:rPr>
          <w:rFonts w:eastAsia="Calibri" w:cs="Arial"/>
          <w:b/>
          <w:sz w:val="24"/>
          <w:szCs w:val="24"/>
          <w:lang w:eastAsia="en-US"/>
        </w:rPr>
        <w:t>URBAN GREENING PROJECT</w:t>
      </w:r>
    </w:p>
    <w:p w14:paraId="15D86904" w14:textId="77777777" w:rsidR="009325ED" w:rsidRDefault="009325ED" w:rsidP="002A102F">
      <w:pPr>
        <w:ind w:left="720" w:hanging="720"/>
        <w:jc w:val="left"/>
        <w:rPr>
          <w:rFonts w:eastAsia="Calibri" w:cs="Arial"/>
          <w:sz w:val="24"/>
          <w:szCs w:val="24"/>
          <w:lang w:eastAsia="en-US"/>
        </w:rPr>
      </w:pPr>
    </w:p>
    <w:p w14:paraId="2A416F3C" w14:textId="77777777" w:rsidR="00467530" w:rsidRDefault="00467530" w:rsidP="00467530">
      <w:pPr>
        <w:pStyle w:val="ListParagraph"/>
        <w:numPr>
          <w:ilvl w:val="0"/>
          <w:numId w:val="45"/>
        </w:numPr>
        <w:contextualSpacing w:val="0"/>
        <w:jc w:val="left"/>
        <w:rPr>
          <w:rFonts w:cs="Arial"/>
          <w:sz w:val="24"/>
          <w:szCs w:val="24"/>
        </w:rPr>
      </w:pPr>
      <w:r>
        <w:rPr>
          <w:rFonts w:cs="Arial"/>
          <w:sz w:val="24"/>
          <w:szCs w:val="24"/>
        </w:rPr>
        <w:t>Placeholder site visits took place on the 14</w:t>
      </w:r>
      <w:r>
        <w:rPr>
          <w:rFonts w:cs="Arial"/>
          <w:sz w:val="24"/>
          <w:szCs w:val="24"/>
          <w:vertAlign w:val="superscript"/>
        </w:rPr>
        <w:t>th</w:t>
      </w:r>
      <w:r>
        <w:rPr>
          <w:rFonts w:cs="Arial"/>
          <w:sz w:val="24"/>
          <w:szCs w:val="24"/>
        </w:rPr>
        <w:t xml:space="preserve"> December.</w:t>
      </w:r>
    </w:p>
    <w:p w14:paraId="2B550DCA" w14:textId="77777777" w:rsidR="00467530" w:rsidRDefault="00467530" w:rsidP="00467530">
      <w:pPr>
        <w:pStyle w:val="ListParagraph"/>
        <w:numPr>
          <w:ilvl w:val="0"/>
          <w:numId w:val="45"/>
        </w:numPr>
        <w:contextualSpacing w:val="0"/>
        <w:jc w:val="left"/>
        <w:rPr>
          <w:rFonts w:cs="Arial"/>
          <w:sz w:val="24"/>
          <w:szCs w:val="24"/>
        </w:rPr>
      </w:pPr>
      <w:r>
        <w:rPr>
          <w:rFonts w:cs="Arial"/>
          <w:sz w:val="24"/>
          <w:szCs w:val="24"/>
        </w:rPr>
        <w:t xml:space="preserve">Tech queries </w:t>
      </w:r>
      <w:r w:rsidR="00357AC7">
        <w:rPr>
          <w:rFonts w:cs="Arial"/>
          <w:sz w:val="24"/>
          <w:szCs w:val="24"/>
        </w:rPr>
        <w:t xml:space="preserve">were </w:t>
      </w:r>
      <w:r w:rsidR="002C0492">
        <w:rPr>
          <w:rFonts w:cs="Arial"/>
          <w:sz w:val="24"/>
          <w:szCs w:val="24"/>
        </w:rPr>
        <w:t xml:space="preserve">received </w:t>
      </w:r>
      <w:r>
        <w:rPr>
          <w:rFonts w:cs="Arial"/>
          <w:sz w:val="24"/>
          <w:szCs w:val="24"/>
        </w:rPr>
        <w:t>by the 5</w:t>
      </w:r>
      <w:r>
        <w:rPr>
          <w:rFonts w:cs="Arial"/>
          <w:sz w:val="24"/>
          <w:szCs w:val="24"/>
          <w:vertAlign w:val="superscript"/>
        </w:rPr>
        <w:t>th</w:t>
      </w:r>
      <w:r>
        <w:rPr>
          <w:rFonts w:cs="Arial"/>
          <w:sz w:val="24"/>
          <w:szCs w:val="24"/>
        </w:rPr>
        <w:t xml:space="preserve"> January.</w:t>
      </w:r>
    </w:p>
    <w:p w14:paraId="78FED2AD" w14:textId="4AFD2E0B" w:rsidR="00467530" w:rsidRDefault="00467530" w:rsidP="00467530">
      <w:pPr>
        <w:pStyle w:val="ListParagraph"/>
        <w:numPr>
          <w:ilvl w:val="0"/>
          <w:numId w:val="45"/>
        </w:numPr>
        <w:contextualSpacing w:val="0"/>
        <w:jc w:val="left"/>
        <w:rPr>
          <w:rFonts w:cs="Arial"/>
          <w:sz w:val="24"/>
          <w:szCs w:val="24"/>
        </w:rPr>
      </w:pPr>
      <w:r>
        <w:rPr>
          <w:rFonts w:cs="Arial"/>
          <w:sz w:val="24"/>
          <w:szCs w:val="24"/>
        </w:rPr>
        <w:t>Tender submissions due back on the 2</w:t>
      </w:r>
      <w:r w:rsidR="00357AC7">
        <w:rPr>
          <w:rFonts w:cs="Arial"/>
          <w:sz w:val="24"/>
          <w:szCs w:val="24"/>
        </w:rPr>
        <w:t>8</w:t>
      </w:r>
      <w:r w:rsidR="00357AC7" w:rsidRPr="00357AC7">
        <w:rPr>
          <w:rFonts w:cs="Arial"/>
          <w:sz w:val="24"/>
          <w:szCs w:val="24"/>
          <w:vertAlign w:val="superscript"/>
        </w:rPr>
        <w:t>th</w:t>
      </w:r>
      <w:r w:rsidR="00357AC7">
        <w:rPr>
          <w:rFonts w:cs="Arial"/>
          <w:sz w:val="24"/>
          <w:szCs w:val="24"/>
        </w:rPr>
        <w:t xml:space="preserve"> </w:t>
      </w:r>
      <w:r>
        <w:rPr>
          <w:rFonts w:cs="Arial"/>
          <w:sz w:val="24"/>
          <w:szCs w:val="24"/>
        </w:rPr>
        <w:t>January.</w:t>
      </w:r>
    </w:p>
    <w:p w14:paraId="6DDC2F8A" w14:textId="5AC7060C" w:rsidR="00E44390" w:rsidRDefault="00E44390" w:rsidP="00467530">
      <w:pPr>
        <w:pStyle w:val="ListParagraph"/>
        <w:numPr>
          <w:ilvl w:val="0"/>
          <w:numId w:val="45"/>
        </w:numPr>
        <w:contextualSpacing w:val="0"/>
        <w:jc w:val="left"/>
        <w:rPr>
          <w:rFonts w:cs="Arial"/>
          <w:sz w:val="24"/>
          <w:szCs w:val="24"/>
        </w:rPr>
      </w:pPr>
      <w:r>
        <w:rPr>
          <w:rFonts w:cs="Arial"/>
          <w:sz w:val="24"/>
          <w:szCs w:val="24"/>
        </w:rPr>
        <w:t>Tender award to be made to successful contractor by 4</w:t>
      </w:r>
      <w:r w:rsidRPr="00B7381A">
        <w:rPr>
          <w:rFonts w:cs="Arial"/>
          <w:sz w:val="24"/>
          <w:szCs w:val="24"/>
          <w:vertAlign w:val="superscript"/>
        </w:rPr>
        <w:t>th</w:t>
      </w:r>
      <w:r>
        <w:rPr>
          <w:rFonts w:cs="Arial"/>
          <w:sz w:val="24"/>
          <w:szCs w:val="24"/>
        </w:rPr>
        <w:t xml:space="preserve"> February.</w:t>
      </w:r>
    </w:p>
    <w:p w14:paraId="62E51DF2" w14:textId="77777777" w:rsidR="00467530" w:rsidRDefault="00467530" w:rsidP="00467530">
      <w:pPr>
        <w:pStyle w:val="ListParagraph"/>
        <w:numPr>
          <w:ilvl w:val="0"/>
          <w:numId w:val="45"/>
        </w:numPr>
        <w:contextualSpacing w:val="0"/>
        <w:jc w:val="left"/>
        <w:rPr>
          <w:rFonts w:cs="Arial"/>
          <w:sz w:val="24"/>
          <w:szCs w:val="24"/>
        </w:rPr>
      </w:pPr>
      <w:r>
        <w:rPr>
          <w:rFonts w:cs="Arial"/>
          <w:sz w:val="24"/>
          <w:szCs w:val="24"/>
        </w:rPr>
        <w:t xml:space="preserve">Work </w:t>
      </w:r>
      <w:r w:rsidR="00357AC7">
        <w:rPr>
          <w:rFonts w:cs="Arial"/>
          <w:sz w:val="24"/>
          <w:szCs w:val="24"/>
        </w:rPr>
        <w:t xml:space="preserve">anticipated </w:t>
      </w:r>
      <w:r>
        <w:rPr>
          <w:rFonts w:cs="Arial"/>
          <w:sz w:val="24"/>
          <w:szCs w:val="24"/>
        </w:rPr>
        <w:t xml:space="preserve">to start </w:t>
      </w:r>
      <w:r w:rsidR="00357AC7">
        <w:rPr>
          <w:rFonts w:cs="Arial"/>
          <w:sz w:val="24"/>
          <w:szCs w:val="24"/>
        </w:rPr>
        <w:t>2</w:t>
      </w:r>
      <w:r w:rsidR="00357AC7" w:rsidRPr="00357AC7">
        <w:rPr>
          <w:rFonts w:cs="Arial"/>
          <w:sz w:val="24"/>
          <w:szCs w:val="24"/>
          <w:vertAlign w:val="superscript"/>
        </w:rPr>
        <w:t>nd</w:t>
      </w:r>
      <w:r w:rsidR="00357AC7">
        <w:rPr>
          <w:rFonts w:cs="Arial"/>
          <w:sz w:val="24"/>
          <w:szCs w:val="24"/>
        </w:rPr>
        <w:t xml:space="preserve"> week </w:t>
      </w:r>
      <w:r>
        <w:rPr>
          <w:rFonts w:cs="Arial"/>
          <w:sz w:val="24"/>
          <w:szCs w:val="24"/>
        </w:rPr>
        <w:t>of February.</w:t>
      </w:r>
    </w:p>
    <w:p w14:paraId="0ABACAB9" w14:textId="77777777" w:rsidR="00357AC7" w:rsidRDefault="00357AC7" w:rsidP="00467530">
      <w:pPr>
        <w:pStyle w:val="ListParagraph"/>
        <w:numPr>
          <w:ilvl w:val="0"/>
          <w:numId w:val="45"/>
        </w:numPr>
        <w:contextualSpacing w:val="0"/>
        <w:jc w:val="left"/>
        <w:rPr>
          <w:rFonts w:cs="Arial"/>
          <w:sz w:val="24"/>
          <w:szCs w:val="24"/>
        </w:rPr>
      </w:pPr>
      <w:r>
        <w:rPr>
          <w:rFonts w:cs="Arial"/>
          <w:sz w:val="24"/>
          <w:szCs w:val="24"/>
        </w:rPr>
        <w:t>Memorial agreed, order placed, awaiting final designs and schedule.</w:t>
      </w:r>
    </w:p>
    <w:p w14:paraId="3AFFCDB6" w14:textId="77777777" w:rsidR="00357AC7" w:rsidRDefault="00357AC7" w:rsidP="00467530">
      <w:pPr>
        <w:pStyle w:val="ListParagraph"/>
        <w:numPr>
          <w:ilvl w:val="0"/>
          <w:numId w:val="45"/>
        </w:numPr>
        <w:contextualSpacing w:val="0"/>
        <w:jc w:val="left"/>
        <w:rPr>
          <w:rFonts w:cs="Arial"/>
          <w:sz w:val="24"/>
          <w:szCs w:val="24"/>
        </w:rPr>
      </w:pPr>
      <w:r>
        <w:rPr>
          <w:rFonts w:cs="Arial"/>
          <w:sz w:val="24"/>
          <w:szCs w:val="24"/>
        </w:rPr>
        <w:t xml:space="preserve">Old Town Hall site includes SUD’s and raingardens as part of the Severn Trent </w:t>
      </w:r>
      <w:r w:rsidR="00B86F1E">
        <w:rPr>
          <w:rFonts w:cs="Arial"/>
          <w:sz w:val="24"/>
          <w:szCs w:val="24"/>
        </w:rPr>
        <w:t>Water flood mitigation</w:t>
      </w:r>
      <w:r>
        <w:rPr>
          <w:rFonts w:cs="Arial"/>
          <w:sz w:val="24"/>
          <w:szCs w:val="24"/>
        </w:rPr>
        <w:t xml:space="preserve"> project.</w:t>
      </w:r>
    </w:p>
    <w:p w14:paraId="028382EE" w14:textId="77777777" w:rsidR="00342EEF" w:rsidRPr="0050480B" w:rsidRDefault="00342EEF" w:rsidP="00357AC7">
      <w:pPr>
        <w:pStyle w:val="ListParagraph"/>
        <w:ind w:left="1440"/>
        <w:rPr>
          <w:rFonts w:cs="Arial"/>
          <w:szCs w:val="24"/>
        </w:rPr>
      </w:pPr>
    </w:p>
    <w:p w14:paraId="529F03B0" w14:textId="77777777" w:rsidR="00252187" w:rsidRDefault="00252187" w:rsidP="002A102F">
      <w:pPr>
        <w:ind w:left="720" w:hanging="720"/>
        <w:jc w:val="left"/>
        <w:rPr>
          <w:rFonts w:eastAsia="Calibri" w:cs="Arial"/>
          <w:b/>
          <w:sz w:val="24"/>
          <w:szCs w:val="24"/>
          <w:lang w:eastAsia="en-US"/>
        </w:rPr>
      </w:pPr>
    </w:p>
    <w:p w14:paraId="4CD9897D" w14:textId="14856831" w:rsidR="00252187" w:rsidRDefault="00252187" w:rsidP="002A102F">
      <w:pPr>
        <w:ind w:left="720" w:hanging="720"/>
        <w:jc w:val="left"/>
        <w:rPr>
          <w:rFonts w:eastAsia="Calibri" w:cs="Arial"/>
          <w:b/>
          <w:sz w:val="24"/>
          <w:szCs w:val="24"/>
          <w:lang w:eastAsia="en-US"/>
        </w:rPr>
      </w:pPr>
    </w:p>
    <w:p w14:paraId="5CFAED80" w14:textId="21762F34" w:rsidR="00252187" w:rsidRDefault="00252187" w:rsidP="002A102F">
      <w:pPr>
        <w:ind w:left="720" w:hanging="720"/>
        <w:jc w:val="left"/>
        <w:rPr>
          <w:rFonts w:eastAsia="Calibri" w:cs="Arial"/>
          <w:b/>
          <w:sz w:val="24"/>
          <w:szCs w:val="24"/>
          <w:lang w:eastAsia="en-US"/>
        </w:rPr>
      </w:pPr>
    </w:p>
    <w:p w14:paraId="4DFDA05A" w14:textId="77777777" w:rsidR="00252187" w:rsidRDefault="00252187" w:rsidP="002A102F">
      <w:pPr>
        <w:ind w:left="720" w:hanging="720"/>
        <w:jc w:val="left"/>
        <w:rPr>
          <w:rFonts w:eastAsia="Calibri" w:cs="Arial"/>
          <w:b/>
          <w:sz w:val="24"/>
          <w:szCs w:val="24"/>
          <w:lang w:eastAsia="en-US"/>
        </w:rPr>
      </w:pPr>
    </w:p>
    <w:p w14:paraId="0A42A6B3" w14:textId="395D56D9" w:rsidR="0059767C" w:rsidRDefault="006C4CEF" w:rsidP="002A102F">
      <w:pPr>
        <w:ind w:left="720" w:hanging="720"/>
        <w:jc w:val="left"/>
        <w:rPr>
          <w:rFonts w:eastAsia="Calibri" w:cs="Arial"/>
          <w:b/>
          <w:sz w:val="24"/>
          <w:szCs w:val="24"/>
          <w:lang w:eastAsia="en-US"/>
        </w:rPr>
      </w:pPr>
      <w:r>
        <w:rPr>
          <w:rFonts w:eastAsia="Calibri" w:cs="Arial"/>
          <w:b/>
          <w:sz w:val="24"/>
          <w:szCs w:val="24"/>
          <w:lang w:eastAsia="en-US"/>
        </w:rPr>
        <w:t>10</w:t>
      </w:r>
      <w:r w:rsidR="001F3FE1">
        <w:rPr>
          <w:rFonts w:eastAsia="Calibri" w:cs="Arial"/>
          <w:b/>
          <w:sz w:val="24"/>
          <w:szCs w:val="24"/>
          <w:lang w:eastAsia="en-US"/>
        </w:rPr>
        <w:t xml:space="preserve">. </w:t>
      </w:r>
      <w:r w:rsidR="001F3FE1">
        <w:rPr>
          <w:rFonts w:eastAsia="Calibri" w:cs="Arial"/>
          <w:b/>
          <w:sz w:val="24"/>
          <w:szCs w:val="24"/>
          <w:lang w:eastAsia="en-US"/>
        </w:rPr>
        <w:tab/>
      </w:r>
      <w:r w:rsidR="001F3FE1" w:rsidRPr="001C36A4">
        <w:rPr>
          <w:rFonts w:eastAsia="Calibri" w:cs="Arial"/>
          <w:b/>
          <w:sz w:val="24"/>
          <w:szCs w:val="24"/>
          <w:lang w:eastAsia="en-US"/>
        </w:rPr>
        <w:t>PUBLIC ART</w:t>
      </w:r>
    </w:p>
    <w:p w14:paraId="3A01EA63" w14:textId="77777777" w:rsidR="00C92FCD" w:rsidRDefault="00C92FCD" w:rsidP="002A102F">
      <w:pPr>
        <w:ind w:left="720" w:hanging="720"/>
        <w:jc w:val="left"/>
        <w:rPr>
          <w:rFonts w:eastAsia="Calibri" w:cs="Arial"/>
          <w:b/>
          <w:sz w:val="24"/>
          <w:szCs w:val="24"/>
          <w:lang w:eastAsia="en-US"/>
        </w:rPr>
      </w:pPr>
    </w:p>
    <w:p w14:paraId="76899BC3" w14:textId="77777777" w:rsidR="006C4CEF" w:rsidRDefault="00C92FCD" w:rsidP="00EF6FC3">
      <w:pPr>
        <w:ind w:left="720" w:hanging="720"/>
        <w:jc w:val="left"/>
        <w:rPr>
          <w:rFonts w:eastAsia="Calibri" w:cs="Arial"/>
          <w:sz w:val="24"/>
          <w:szCs w:val="24"/>
          <w:lang w:eastAsia="en-US"/>
        </w:rPr>
      </w:pPr>
      <w:r>
        <w:rPr>
          <w:rFonts w:eastAsia="Calibri" w:cs="Arial"/>
          <w:b/>
          <w:sz w:val="24"/>
          <w:szCs w:val="24"/>
          <w:lang w:eastAsia="en-US"/>
        </w:rPr>
        <w:tab/>
      </w:r>
      <w:r w:rsidR="00B86F1E">
        <w:rPr>
          <w:rFonts w:eastAsia="Calibri" w:cs="Arial"/>
          <w:sz w:val="24"/>
          <w:szCs w:val="24"/>
          <w:lang w:eastAsia="en-US"/>
        </w:rPr>
        <w:t>A</w:t>
      </w:r>
      <w:r w:rsidR="00EF6FC3">
        <w:rPr>
          <w:rFonts w:eastAsia="Calibri" w:cs="Arial"/>
          <w:sz w:val="24"/>
          <w:szCs w:val="24"/>
          <w:lang w:eastAsia="en-US"/>
        </w:rPr>
        <w:t xml:space="preserve"> repair has been carried out on the Leaning Man statue, as well as</w:t>
      </w:r>
      <w:r w:rsidR="00B86F1E">
        <w:rPr>
          <w:rFonts w:eastAsia="Calibri" w:cs="Arial"/>
          <w:sz w:val="24"/>
          <w:szCs w:val="24"/>
          <w:lang w:eastAsia="en-US"/>
        </w:rPr>
        <w:t xml:space="preserve"> repair work to</w:t>
      </w:r>
      <w:r w:rsidR="00EF6FC3">
        <w:rPr>
          <w:rFonts w:eastAsia="Calibri" w:cs="Arial"/>
          <w:sz w:val="24"/>
          <w:szCs w:val="24"/>
          <w:lang w:eastAsia="en-US"/>
        </w:rPr>
        <w:t xml:space="preserve"> the Feather. However, further issues</w:t>
      </w:r>
      <w:r w:rsidR="00B86F1E">
        <w:rPr>
          <w:rFonts w:eastAsia="Calibri" w:cs="Arial"/>
          <w:sz w:val="24"/>
          <w:szCs w:val="24"/>
          <w:lang w:eastAsia="en-US"/>
        </w:rPr>
        <w:t xml:space="preserve"> have been identified</w:t>
      </w:r>
      <w:r w:rsidR="00EF6FC3">
        <w:rPr>
          <w:rFonts w:eastAsia="Calibri" w:cs="Arial"/>
          <w:sz w:val="24"/>
          <w:szCs w:val="24"/>
          <w:lang w:eastAsia="en-US"/>
        </w:rPr>
        <w:t xml:space="preserve"> with the Feather and a more in-depth structural survey is being commissioned to assess the current condition and future inspection / maintenance regimes.</w:t>
      </w:r>
    </w:p>
    <w:p w14:paraId="18298785" w14:textId="77777777" w:rsidR="00EF6FC3" w:rsidRDefault="00EF6FC3" w:rsidP="00EF6FC3">
      <w:pPr>
        <w:ind w:left="720" w:hanging="720"/>
        <w:jc w:val="left"/>
        <w:rPr>
          <w:rFonts w:eastAsia="Calibri" w:cs="Arial"/>
          <w:sz w:val="24"/>
          <w:szCs w:val="24"/>
          <w:lang w:eastAsia="en-US"/>
        </w:rPr>
      </w:pPr>
    </w:p>
    <w:p w14:paraId="0C40C094" w14:textId="77777777" w:rsidR="00EF6FC3" w:rsidRDefault="00EF6FC3" w:rsidP="00EF6FC3">
      <w:pPr>
        <w:ind w:left="720" w:hanging="720"/>
        <w:jc w:val="left"/>
        <w:rPr>
          <w:rFonts w:eastAsia="Calibri" w:cs="Arial"/>
          <w:sz w:val="24"/>
          <w:szCs w:val="24"/>
          <w:lang w:eastAsia="en-US"/>
        </w:rPr>
      </w:pPr>
      <w:r>
        <w:rPr>
          <w:rFonts w:eastAsia="Calibri" w:cs="Arial"/>
          <w:sz w:val="24"/>
          <w:szCs w:val="24"/>
          <w:lang w:eastAsia="en-US"/>
        </w:rPr>
        <w:tab/>
        <w:t>Work will commence on the Bentinck Memorial on the 9</w:t>
      </w:r>
      <w:r w:rsidRPr="00EF6FC3">
        <w:rPr>
          <w:rFonts w:eastAsia="Calibri" w:cs="Arial"/>
          <w:sz w:val="24"/>
          <w:szCs w:val="24"/>
          <w:vertAlign w:val="superscript"/>
          <w:lang w:eastAsia="en-US"/>
        </w:rPr>
        <w:t>th</w:t>
      </w:r>
      <w:r>
        <w:rPr>
          <w:rFonts w:eastAsia="Calibri" w:cs="Arial"/>
          <w:sz w:val="24"/>
          <w:szCs w:val="24"/>
          <w:lang w:eastAsia="en-US"/>
        </w:rPr>
        <w:t xml:space="preserve"> March and is lik</w:t>
      </w:r>
      <w:r w:rsidR="00B86F1E">
        <w:rPr>
          <w:rFonts w:eastAsia="Calibri" w:cs="Arial"/>
          <w:sz w:val="24"/>
          <w:szCs w:val="24"/>
          <w:lang w:eastAsia="en-US"/>
        </w:rPr>
        <w:t>ely to last for at least 2/3 we</w:t>
      </w:r>
      <w:r>
        <w:rPr>
          <w:rFonts w:eastAsia="Calibri" w:cs="Arial"/>
          <w:sz w:val="24"/>
          <w:szCs w:val="24"/>
          <w:lang w:eastAsia="en-US"/>
        </w:rPr>
        <w:t>eks.</w:t>
      </w:r>
    </w:p>
    <w:p w14:paraId="2B289747" w14:textId="77777777" w:rsidR="00EF6FC3" w:rsidRDefault="00EF6FC3" w:rsidP="00EF6FC3">
      <w:pPr>
        <w:ind w:left="720" w:hanging="720"/>
        <w:jc w:val="left"/>
        <w:rPr>
          <w:rFonts w:eastAsia="Calibri" w:cs="Arial"/>
          <w:sz w:val="24"/>
          <w:szCs w:val="24"/>
          <w:lang w:eastAsia="en-US"/>
        </w:rPr>
      </w:pPr>
    </w:p>
    <w:p w14:paraId="4F404A65" w14:textId="77777777" w:rsidR="00EF6FC3" w:rsidRPr="00EF6FC3" w:rsidRDefault="00B86F1E" w:rsidP="00EF6FC3">
      <w:pPr>
        <w:ind w:left="720" w:hanging="720"/>
        <w:jc w:val="left"/>
        <w:rPr>
          <w:rFonts w:eastAsia="Calibri" w:cs="Arial"/>
          <w:sz w:val="24"/>
          <w:szCs w:val="24"/>
          <w:lang w:eastAsia="en-US"/>
        </w:rPr>
      </w:pPr>
      <w:r>
        <w:rPr>
          <w:rFonts w:eastAsia="Calibri" w:cs="Arial"/>
          <w:sz w:val="24"/>
          <w:szCs w:val="24"/>
          <w:lang w:eastAsia="en-US"/>
        </w:rPr>
        <w:tab/>
        <w:t>The ‘C</w:t>
      </w:r>
      <w:r w:rsidR="00EF6FC3">
        <w:rPr>
          <w:rFonts w:eastAsia="Calibri" w:cs="Arial"/>
          <w:sz w:val="24"/>
          <w:szCs w:val="24"/>
          <w:lang w:eastAsia="en-US"/>
        </w:rPr>
        <w:t>entre of Sherwood Forest</w:t>
      </w:r>
      <w:r>
        <w:rPr>
          <w:rFonts w:eastAsia="Calibri" w:cs="Arial"/>
          <w:sz w:val="24"/>
          <w:szCs w:val="24"/>
          <w:lang w:eastAsia="en-US"/>
        </w:rPr>
        <w:t>’</w:t>
      </w:r>
      <w:r w:rsidR="00EF6FC3">
        <w:rPr>
          <w:rFonts w:eastAsia="Calibri" w:cs="Arial"/>
          <w:sz w:val="24"/>
          <w:szCs w:val="24"/>
          <w:lang w:eastAsia="en-US"/>
        </w:rPr>
        <w:t xml:space="preserve"> plaque will be re-instated on </w:t>
      </w:r>
      <w:r w:rsidR="005A3095">
        <w:rPr>
          <w:rFonts w:eastAsia="Calibri" w:cs="Arial"/>
          <w:sz w:val="24"/>
          <w:szCs w:val="24"/>
          <w:lang w:eastAsia="en-US"/>
        </w:rPr>
        <w:t xml:space="preserve">West Gate on </w:t>
      </w:r>
      <w:r w:rsidR="00EF6FC3">
        <w:rPr>
          <w:rFonts w:eastAsia="Calibri" w:cs="Arial"/>
          <w:sz w:val="24"/>
          <w:szCs w:val="24"/>
          <w:lang w:eastAsia="en-US"/>
        </w:rPr>
        <w:t>the 8</w:t>
      </w:r>
      <w:r w:rsidR="00EF6FC3" w:rsidRPr="00EF6FC3">
        <w:rPr>
          <w:rFonts w:eastAsia="Calibri" w:cs="Arial"/>
          <w:sz w:val="24"/>
          <w:szCs w:val="24"/>
          <w:vertAlign w:val="superscript"/>
          <w:lang w:eastAsia="en-US"/>
        </w:rPr>
        <w:t>th</w:t>
      </w:r>
      <w:r w:rsidR="00EF6FC3">
        <w:rPr>
          <w:rFonts w:eastAsia="Calibri" w:cs="Arial"/>
          <w:sz w:val="24"/>
          <w:szCs w:val="24"/>
          <w:lang w:eastAsia="en-US"/>
        </w:rPr>
        <w:t xml:space="preserve"> March and the mounting stone will also be repaired at this point. </w:t>
      </w:r>
    </w:p>
    <w:p w14:paraId="7072E918" w14:textId="77777777" w:rsidR="006C4CEF" w:rsidRDefault="006C4CEF" w:rsidP="00570FA2">
      <w:pPr>
        <w:ind w:left="720" w:hanging="720"/>
        <w:jc w:val="left"/>
        <w:rPr>
          <w:rFonts w:eastAsia="Calibri" w:cs="Arial"/>
          <w:b/>
          <w:sz w:val="24"/>
          <w:szCs w:val="24"/>
          <w:lang w:eastAsia="en-US"/>
        </w:rPr>
      </w:pPr>
    </w:p>
    <w:p w14:paraId="036526D9" w14:textId="77777777" w:rsidR="006C4CEF" w:rsidRDefault="006C4CEF" w:rsidP="00570FA2">
      <w:pPr>
        <w:ind w:left="720" w:hanging="720"/>
        <w:jc w:val="left"/>
        <w:rPr>
          <w:rFonts w:eastAsia="Calibri" w:cs="Arial"/>
          <w:b/>
          <w:sz w:val="24"/>
          <w:szCs w:val="24"/>
          <w:lang w:eastAsia="en-US"/>
        </w:rPr>
      </w:pPr>
    </w:p>
    <w:p w14:paraId="5A900050" w14:textId="77777777" w:rsidR="00766C43" w:rsidRDefault="006C4CEF" w:rsidP="00570FA2">
      <w:pPr>
        <w:ind w:left="720" w:hanging="720"/>
        <w:jc w:val="left"/>
        <w:rPr>
          <w:rFonts w:eastAsia="Calibri" w:cs="Arial"/>
          <w:b/>
          <w:sz w:val="24"/>
          <w:szCs w:val="24"/>
          <w:lang w:eastAsia="en-US"/>
        </w:rPr>
      </w:pPr>
      <w:r>
        <w:rPr>
          <w:rFonts w:eastAsia="Calibri" w:cs="Arial"/>
          <w:b/>
          <w:sz w:val="24"/>
          <w:szCs w:val="24"/>
          <w:lang w:eastAsia="en-US"/>
        </w:rPr>
        <w:t>11</w:t>
      </w:r>
      <w:r w:rsidR="00766C43">
        <w:rPr>
          <w:rFonts w:eastAsia="Calibri" w:cs="Arial"/>
          <w:b/>
          <w:sz w:val="24"/>
          <w:szCs w:val="24"/>
          <w:lang w:eastAsia="en-US"/>
        </w:rPr>
        <w:t>.</w:t>
      </w:r>
      <w:r w:rsidR="00766C43">
        <w:rPr>
          <w:rFonts w:eastAsia="Calibri" w:cs="Arial"/>
          <w:b/>
          <w:sz w:val="24"/>
          <w:szCs w:val="24"/>
          <w:lang w:eastAsia="en-US"/>
        </w:rPr>
        <w:tab/>
      </w:r>
      <w:r w:rsidR="00766C43" w:rsidRPr="00540450">
        <w:rPr>
          <w:rFonts w:eastAsia="Calibri" w:cs="Arial"/>
          <w:b/>
          <w:sz w:val="24"/>
          <w:szCs w:val="24"/>
          <w:lang w:eastAsia="en-US"/>
        </w:rPr>
        <w:t>STAFFING</w:t>
      </w:r>
    </w:p>
    <w:p w14:paraId="6168E0B7" w14:textId="77777777" w:rsidR="00766C43" w:rsidRDefault="00766C43" w:rsidP="00570FA2">
      <w:pPr>
        <w:ind w:left="720" w:hanging="720"/>
        <w:jc w:val="left"/>
        <w:rPr>
          <w:rFonts w:eastAsia="Calibri" w:cs="Arial"/>
          <w:b/>
          <w:sz w:val="24"/>
          <w:szCs w:val="24"/>
          <w:lang w:eastAsia="en-US"/>
        </w:rPr>
      </w:pPr>
    </w:p>
    <w:p w14:paraId="0F81BCA7" w14:textId="77777777" w:rsidR="007B0AC3" w:rsidRDefault="00766C43" w:rsidP="000E65A3">
      <w:pPr>
        <w:ind w:left="720" w:hanging="720"/>
        <w:jc w:val="left"/>
        <w:rPr>
          <w:rFonts w:eastAsia="Calibri" w:cs="Arial"/>
          <w:sz w:val="24"/>
          <w:szCs w:val="24"/>
          <w:lang w:eastAsia="en-US"/>
        </w:rPr>
      </w:pPr>
      <w:r>
        <w:rPr>
          <w:rFonts w:eastAsia="Calibri" w:cs="Arial"/>
          <w:b/>
          <w:sz w:val="24"/>
          <w:szCs w:val="24"/>
          <w:lang w:eastAsia="en-US"/>
        </w:rPr>
        <w:tab/>
      </w:r>
      <w:r w:rsidR="009D4963">
        <w:rPr>
          <w:rFonts w:eastAsia="Calibri" w:cs="Arial"/>
          <w:sz w:val="24"/>
          <w:szCs w:val="24"/>
          <w:lang w:eastAsia="en-US"/>
        </w:rPr>
        <w:t xml:space="preserve">The team </w:t>
      </w:r>
      <w:r w:rsidR="00CB1A7B">
        <w:rPr>
          <w:rFonts w:eastAsia="Calibri" w:cs="Arial"/>
          <w:sz w:val="24"/>
          <w:szCs w:val="24"/>
          <w:lang w:eastAsia="en-US"/>
        </w:rPr>
        <w:t>have been impacted by Covid isolations but have continued to keep all services operating.</w:t>
      </w:r>
    </w:p>
    <w:p w14:paraId="7F2F02EB" w14:textId="77777777" w:rsidR="009D4963" w:rsidRDefault="009D4963" w:rsidP="000E65A3">
      <w:pPr>
        <w:ind w:left="720" w:hanging="720"/>
        <w:jc w:val="left"/>
        <w:rPr>
          <w:rFonts w:eastAsia="Calibri" w:cs="Arial"/>
          <w:sz w:val="24"/>
          <w:szCs w:val="24"/>
          <w:lang w:eastAsia="en-US"/>
        </w:rPr>
      </w:pPr>
    </w:p>
    <w:p w14:paraId="498FF0AD" w14:textId="77777777" w:rsidR="009D4963" w:rsidRDefault="009D4963" w:rsidP="000E65A3">
      <w:pPr>
        <w:ind w:left="720" w:hanging="720"/>
        <w:jc w:val="left"/>
        <w:rPr>
          <w:rFonts w:eastAsia="Calibri" w:cs="Arial"/>
          <w:sz w:val="24"/>
          <w:szCs w:val="24"/>
          <w:lang w:eastAsia="en-US"/>
        </w:rPr>
      </w:pPr>
      <w:r>
        <w:rPr>
          <w:rFonts w:eastAsia="Calibri" w:cs="Arial"/>
          <w:sz w:val="24"/>
          <w:szCs w:val="24"/>
          <w:lang w:eastAsia="en-US"/>
        </w:rPr>
        <w:tab/>
      </w:r>
      <w:r w:rsidR="00CB1A7B">
        <w:rPr>
          <w:rFonts w:eastAsia="Calibri" w:cs="Arial"/>
          <w:sz w:val="24"/>
          <w:szCs w:val="24"/>
          <w:lang w:eastAsia="en-US"/>
        </w:rPr>
        <w:t xml:space="preserve">One staff remains off sick </w:t>
      </w:r>
      <w:r>
        <w:rPr>
          <w:rFonts w:eastAsia="Calibri" w:cs="Arial"/>
          <w:sz w:val="24"/>
          <w:szCs w:val="24"/>
          <w:lang w:eastAsia="en-US"/>
        </w:rPr>
        <w:t xml:space="preserve">due to long term sickness, which does have an impact on </w:t>
      </w:r>
      <w:r w:rsidR="00CB1A7B">
        <w:rPr>
          <w:rFonts w:eastAsia="Calibri" w:cs="Arial"/>
          <w:sz w:val="24"/>
          <w:szCs w:val="24"/>
          <w:lang w:eastAsia="en-US"/>
        </w:rPr>
        <w:t xml:space="preserve">one team, but work is prioritised accordingly. </w:t>
      </w:r>
    </w:p>
    <w:p w14:paraId="3210E7B4" w14:textId="77777777" w:rsidR="009D4963" w:rsidRDefault="009D4963" w:rsidP="000E65A3">
      <w:pPr>
        <w:ind w:left="720" w:hanging="720"/>
        <w:jc w:val="left"/>
        <w:rPr>
          <w:rFonts w:eastAsia="Calibri" w:cs="Arial"/>
          <w:sz w:val="24"/>
          <w:szCs w:val="24"/>
          <w:lang w:eastAsia="en-US"/>
        </w:rPr>
      </w:pPr>
    </w:p>
    <w:p w14:paraId="4D95A979" w14:textId="77777777" w:rsidR="009D4963" w:rsidRDefault="009D4963" w:rsidP="000E65A3">
      <w:pPr>
        <w:ind w:left="720" w:hanging="720"/>
        <w:jc w:val="left"/>
        <w:rPr>
          <w:rFonts w:eastAsia="Calibri" w:cs="Arial"/>
          <w:sz w:val="24"/>
          <w:szCs w:val="24"/>
          <w:lang w:eastAsia="en-US"/>
        </w:rPr>
      </w:pPr>
      <w:r>
        <w:rPr>
          <w:rFonts w:eastAsia="Calibri" w:cs="Arial"/>
          <w:sz w:val="24"/>
          <w:szCs w:val="24"/>
          <w:lang w:eastAsia="en-US"/>
        </w:rPr>
        <w:tab/>
      </w:r>
      <w:r w:rsidR="00CB1A7B">
        <w:rPr>
          <w:rFonts w:eastAsia="Calibri" w:cs="Arial"/>
          <w:sz w:val="24"/>
          <w:szCs w:val="24"/>
          <w:lang w:eastAsia="en-US"/>
        </w:rPr>
        <w:t>The Christmas period is always busy for the team supporting various Christmas events and Mansfield BID Christmas Market.</w:t>
      </w:r>
    </w:p>
    <w:p w14:paraId="019372EF" w14:textId="77777777" w:rsidR="00CB1A7B" w:rsidRDefault="00CB1A7B" w:rsidP="000E65A3">
      <w:pPr>
        <w:ind w:left="720" w:hanging="720"/>
        <w:jc w:val="left"/>
        <w:rPr>
          <w:rFonts w:eastAsia="Calibri" w:cs="Arial"/>
          <w:sz w:val="24"/>
          <w:szCs w:val="24"/>
          <w:lang w:eastAsia="en-US"/>
        </w:rPr>
      </w:pPr>
    </w:p>
    <w:p w14:paraId="10ACE47D" w14:textId="77777777" w:rsidR="00CB1A7B" w:rsidRDefault="00CB1A7B" w:rsidP="000E65A3">
      <w:pPr>
        <w:ind w:left="720" w:hanging="720"/>
        <w:jc w:val="left"/>
        <w:rPr>
          <w:rFonts w:eastAsia="Calibri" w:cs="Arial"/>
          <w:sz w:val="24"/>
          <w:szCs w:val="24"/>
          <w:lang w:eastAsia="en-US"/>
        </w:rPr>
      </w:pPr>
      <w:r>
        <w:rPr>
          <w:rFonts w:eastAsia="Calibri" w:cs="Arial"/>
          <w:sz w:val="24"/>
          <w:szCs w:val="24"/>
          <w:lang w:eastAsia="en-US"/>
        </w:rPr>
        <w:tab/>
        <w:t>Once again the electrical team (3 staff) did a fantastic job of installing all the Christmas lights across the district and supporting the various events. The light tunnel and display in front of the Old Town Hall was exceptional and drew lots of people to it to have photographs taken and also lots of compliments from the public.</w:t>
      </w:r>
    </w:p>
    <w:p w14:paraId="53C64296" w14:textId="77777777" w:rsidR="00CB1A7B" w:rsidRDefault="00CB1A7B" w:rsidP="000E65A3">
      <w:pPr>
        <w:ind w:left="720" w:hanging="720"/>
        <w:jc w:val="left"/>
        <w:rPr>
          <w:rFonts w:eastAsia="Calibri" w:cs="Arial"/>
          <w:sz w:val="24"/>
          <w:szCs w:val="24"/>
          <w:lang w:eastAsia="en-US"/>
        </w:rPr>
      </w:pPr>
    </w:p>
    <w:p w14:paraId="77F55C27" w14:textId="77777777" w:rsidR="00CB1A7B" w:rsidRDefault="00CB1A7B" w:rsidP="000E65A3">
      <w:pPr>
        <w:ind w:left="720" w:hanging="720"/>
        <w:jc w:val="left"/>
        <w:rPr>
          <w:rFonts w:eastAsia="Calibri" w:cs="Arial"/>
          <w:sz w:val="24"/>
          <w:szCs w:val="24"/>
          <w:lang w:eastAsia="en-US"/>
        </w:rPr>
      </w:pPr>
      <w:r>
        <w:rPr>
          <w:rFonts w:eastAsia="Calibri" w:cs="Arial"/>
          <w:sz w:val="24"/>
          <w:szCs w:val="24"/>
          <w:lang w:eastAsia="en-US"/>
        </w:rPr>
        <w:tab/>
        <w:t xml:space="preserve">We are </w:t>
      </w:r>
      <w:r w:rsidR="00055768">
        <w:rPr>
          <w:rFonts w:eastAsia="Calibri" w:cs="Arial"/>
          <w:sz w:val="24"/>
          <w:szCs w:val="24"/>
          <w:lang w:eastAsia="en-US"/>
        </w:rPr>
        <w:t>already planning Christmas 2022!</w:t>
      </w:r>
      <w:r>
        <w:rPr>
          <w:rFonts w:eastAsia="Calibri" w:cs="Arial"/>
          <w:sz w:val="24"/>
          <w:szCs w:val="24"/>
          <w:lang w:eastAsia="en-US"/>
        </w:rPr>
        <w:t xml:space="preserve"> </w:t>
      </w:r>
    </w:p>
    <w:p w14:paraId="1ADD3CA8" w14:textId="77777777" w:rsidR="00913AE0" w:rsidRDefault="00913AE0" w:rsidP="000E65A3">
      <w:pPr>
        <w:ind w:left="720" w:hanging="720"/>
        <w:jc w:val="left"/>
        <w:rPr>
          <w:rFonts w:eastAsia="Calibri" w:cs="Arial"/>
          <w:sz w:val="24"/>
          <w:szCs w:val="24"/>
          <w:lang w:eastAsia="en-US"/>
        </w:rPr>
      </w:pPr>
    </w:p>
    <w:p w14:paraId="346CAF81" w14:textId="77777777" w:rsidR="0059767C" w:rsidRPr="0059767C" w:rsidRDefault="006B375A" w:rsidP="002A102F">
      <w:pPr>
        <w:ind w:left="720" w:hanging="720"/>
        <w:jc w:val="left"/>
        <w:rPr>
          <w:rFonts w:eastAsia="Calibri" w:cs="Arial"/>
          <w:b/>
          <w:sz w:val="24"/>
          <w:szCs w:val="24"/>
          <w:lang w:eastAsia="en-US"/>
        </w:rPr>
      </w:pPr>
      <w:r>
        <w:rPr>
          <w:rFonts w:eastAsia="Calibri" w:cs="Arial"/>
          <w:b/>
          <w:sz w:val="24"/>
          <w:szCs w:val="24"/>
          <w:lang w:eastAsia="en-US"/>
        </w:rPr>
        <w:t>13</w:t>
      </w:r>
      <w:r w:rsidR="0059767C">
        <w:rPr>
          <w:rFonts w:eastAsia="Calibri" w:cs="Arial"/>
          <w:b/>
          <w:sz w:val="24"/>
          <w:szCs w:val="24"/>
          <w:lang w:eastAsia="en-US"/>
        </w:rPr>
        <w:t xml:space="preserve">. </w:t>
      </w:r>
      <w:r w:rsidR="0059767C">
        <w:rPr>
          <w:rFonts w:eastAsia="Calibri" w:cs="Arial"/>
          <w:b/>
          <w:sz w:val="24"/>
          <w:szCs w:val="24"/>
          <w:lang w:eastAsia="en-US"/>
        </w:rPr>
        <w:tab/>
      </w:r>
      <w:r w:rsidR="0059767C" w:rsidRPr="00540450">
        <w:rPr>
          <w:rFonts w:cs="Arial"/>
          <w:b/>
          <w:sz w:val="24"/>
          <w:szCs w:val="24"/>
        </w:rPr>
        <w:t xml:space="preserve">COMMENTS OF </w:t>
      </w:r>
      <w:r w:rsidR="00601EF3" w:rsidRPr="00540450">
        <w:rPr>
          <w:rFonts w:cs="Arial"/>
          <w:b/>
          <w:sz w:val="24"/>
          <w:szCs w:val="24"/>
        </w:rPr>
        <w:t>HEAD OF SERVICE</w:t>
      </w:r>
    </w:p>
    <w:p w14:paraId="4895C3BA" w14:textId="77777777" w:rsidR="00A37067" w:rsidRPr="00C00524" w:rsidRDefault="00A37067" w:rsidP="002A102F">
      <w:pPr>
        <w:ind w:left="720" w:hanging="720"/>
        <w:jc w:val="left"/>
        <w:rPr>
          <w:rFonts w:eastAsia="Calibri" w:cs="Arial"/>
          <w:b/>
          <w:sz w:val="24"/>
          <w:szCs w:val="24"/>
          <w:lang w:eastAsia="en-US"/>
        </w:rPr>
      </w:pPr>
    </w:p>
    <w:p w14:paraId="34828492" w14:textId="3A10480A" w:rsidR="001F5D7D" w:rsidRDefault="006B375A" w:rsidP="00E44390">
      <w:pPr>
        <w:ind w:left="720" w:hanging="720"/>
        <w:rPr>
          <w:rFonts w:cs="Arial"/>
          <w:sz w:val="24"/>
          <w:szCs w:val="24"/>
        </w:rPr>
      </w:pPr>
      <w:r>
        <w:rPr>
          <w:rFonts w:eastAsia="Calibri" w:cs="Arial"/>
          <w:sz w:val="24"/>
          <w:szCs w:val="24"/>
          <w:lang w:eastAsia="en-US"/>
        </w:rPr>
        <w:t>13</w:t>
      </w:r>
      <w:r w:rsidR="00F51E5D">
        <w:rPr>
          <w:rFonts w:eastAsia="Calibri" w:cs="Arial"/>
          <w:sz w:val="24"/>
          <w:szCs w:val="24"/>
          <w:lang w:eastAsia="en-US"/>
        </w:rPr>
        <w:t>.1</w:t>
      </w:r>
      <w:r w:rsidR="00F51E5D">
        <w:rPr>
          <w:rFonts w:eastAsia="Calibri" w:cs="Arial"/>
          <w:sz w:val="24"/>
          <w:szCs w:val="24"/>
          <w:lang w:eastAsia="en-US"/>
        </w:rPr>
        <w:tab/>
      </w:r>
      <w:r w:rsidR="005A3095">
        <w:rPr>
          <w:rFonts w:eastAsia="Calibri" w:cs="Arial"/>
          <w:sz w:val="24"/>
          <w:szCs w:val="24"/>
          <w:lang w:eastAsia="en-US"/>
        </w:rPr>
        <w:t>The team have worked very hard over the festive period to ensure that the town centre looks great, and continues to provide a safe and clean environment for visitors. The move towards less paper-based processes for parking season tickets has gone very well and more is planned to ensure the service benefits from more modern ways of working.</w:t>
      </w:r>
    </w:p>
    <w:p w14:paraId="0E24B241" w14:textId="77777777" w:rsidR="001F5D7D" w:rsidRDefault="001F5D7D" w:rsidP="001F5D7D">
      <w:pPr>
        <w:ind w:left="720" w:hanging="720"/>
        <w:rPr>
          <w:rFonts w:cs="Arial"/>
          <w:sz w:val="24"/>
          <w:szCs w:val="24"/>
        </w:rPr>
      </w:pPr>
    </w:p>
    <w:p w14:paraId="30D71997" w14:textId="77777777" w:rsidR="00F16FED" w:rsidRDefault="00F16FED" w:rsidP="001F5D7D">
      <w:pPr>
        <w:ind w:left="720" w:hanging="720"/>
        <w:rPr>
          <w:rFonts w:cs="Arial"/>
          <w:sz w:val="24"/>
          <w:szCs w:val="24"/>
        </w:rPr>
      </w:pPr>
    </w:p>
    <w:p w14:paraId="46FD959D" w14:textId="77777777" w:rsidR="00F16FED" w:rsidRDefault="00F16FED" w:rsidP="001F5D7D">
      <w:pPr>
        <w:ind w:left="720" w:hanging="720"/>
        <w:rPr>
          <w:rFonts w:cs="Arial"/>
          <w:sz w:val="24"/>
          <w:szCs w:val="24"/>
        </w:rPr>
      </w:pPr>
    </w:p>
    <w:p w14:paraId="0961871F" w14:textId="77777777" w:rsidR="00B05523" w:rsidRDefault="00B05523" w:rsidP="00B05523">
      <w:pPr>
        <w:jc w:val="left"/>
        <w:rPr>
          <w:b/>
          <w:sz w:val="24"/>
          <w:szCs w:val="24"/>
        </w:rPr>
      </w:pPr>
    </w:p>
    <w:tbl>
      <w:tblPr>
        <w:tblW w:w="0" w:type="auto"/>
        <w:tblLook w:val="01E0" w:firstRow="1" w:lastRow="1" w:firstColumn="1" w:lastColumn="1" w:noHBand="0" w:noVBand="0"/>
      </w:tblPr>
      <w:tblGrid>
        <w:gridCol w:w="1788"/>
        <w:gridCol w:w="296"/>
        <w:gridCol w:w="6910"/>
      </w:tblGrid>
      <w:tr w:rsidR="004E0E92" w:rsidRPr="00BC2009" w14:paraId="002E3A47" w14:textId="77777777" w:rsidTr="00083108">
        <w:tc>
          <w:tcPr>
            <w:tcW w:w="1788" w:type="dxa"/>
            <w:shd w:val="clear" w:color="auto" w:fill="auto"/>
          </w:tcPr>
          <w:p w14:paraId="7D8976FE" w14:textId="77777777" w:rsidR="004E0E92" w:rsidRPr="00BC2009" w:rsidRDefault="001F5D7D" w:rsidP="002A102F">
            <w:pPr>
              <w:rPr>
                <w:rFonts w:cs="Arial"/>
                <w:sz w:val="24"/>
                <w:szCs w:val="24"/>
              </w:rPr>
            </w:pPr>
            <w:r>
              <w:rPr>
                <w:rFonts w:cs="Arial"/>
                <w:sz w:val="24"/>
                <w:szCs w:val="24"/>
              </w:rPr>
              <w:t>R</w:t>
            </w:r>
            <w:r w:rsidR="004E0E92" w:rsidRPr="00BC2009">
              <w:rPr>
                <w:rFonts w:cs="Arial"/>
                <w:sz w:val="24"/>
                <w:szCs w:val="24"/>
              </w:rPr>
              <w:t>eport Author</w:t>
            </w:r>
          </w:p>
        </w:tc>
        <w:tc>
          <w:tcPr>
            <w:tcW w:w="296" w:type="dxa"/>
            <w:shd w:val="clear" w:color="auto" w:fill="auto"/>
          </w:tcPr>
          <w:p w14:paraId="1DA6DA19" w14:textId="77777777" w:rsidR="004E0E92" w:rsidRPr="00BC2009" w:rsidRDefault="004E0E92" w:rsidP="002A102F">
            <w:pPr>
              <w:rPr>
                <w:rFonts w:cs="Arial"/>
                <w:sz w:val="24"/>
                <w:szCs w:val="24"/>
              </w:rPr>
            </w:pPr>
            <w:r w:rsidRPr="00BC2009">
              <w:rPr>
                <w:rFonts w:cs="Arial"/>
                <w:sz w:val="24"/>
                <w:szCs w:val="24"/>
              </w:rPr>
              <w:t>-</w:t>
            </w:r>
          </w:p>
        </w:tc>
        <w:tc>
          <w:tcPr>
            <w:tcW w:w="6910" w:type="dxa"/>
            <w:shd w:val="clear" w:color="auto" w:fill="auto"/>
          </w:tcPr>
          <w:p w14:paraId="2509B33F" w14:textId="77777777" w:rsidR="004E0E92" w:rsidRPr="00BC2009" w:rsidRDefault="00603EDB" w:rsidP="002A102F">
            <w:pPr>
              <w:rPr>
                <w:rFonts w:cs="Arial"/>
                <w:sz w:val="24"/>
                <w:szCs w:val="24"/>
              </w:rPr>
            </w:pPr>
            <w:r>
              <w:rPr>
                <w:rFonts w:cs="Arial"/>
                <w:sz w:val="24"/>
                <w:szCs w:val="24"/>
              </w:rPr>
              <w:t>Julie Snowdon</w:t>
            </w:r>
          </w:p>
        </w:tc>
      </w:tr>
      <w:tr w:rsidR="004E0E92" w:rsidRPr="00BC2009" w14:paraId="54C71649" w14:textId="77777777" w:rsidTr="00083108">
        <w:tc>
          <w:tcPr>
            <w:tcW w:w="1788" w:type="dxa"/>
            <w:shd w:val="clear" w:color="auto" w:fill="auto"/>
          </w:tcPr>
          <w:p w14:paraId="087E66BA" w14:textId="77777777" w:rsidR="004E0E92" w:rsidRPr="00BC2009" w:rsidRDefault="004E0E92" w:rsidP="002A102F">
            <w:pPr>
              <w:rPr>
                <w:rFonts w:cs="Arial"/>
                <w:sz w:val="24"/>
                <w:szCs w:val="24"/>
              </w:rPr>
            </w:pPr>
            <w:r w:rsidRPr="00BC2009">
              <w:rPr>
                <w:rFonts w:cs="Arial"/>
                <w:sz w:val="24"/>
                <w:szCs w:val="24"/>
              </w:rPr>
              <w:t>Designation</w:t>
            </w:r>
          </w:p>
        </w:tc>
        <w:tc>
          <w:tcPr>
            <w:tcW w:w="296" w:type="dxa"/>
            <w:shd w:val="clear" w:color="auto" w:fill="auto"/>
          </w:tcPr>
          <w:p w14:paraId="74379222" w14:textId="77777777" w:rsidR="004E0E92" w:rsidRPr="00BC2009" w:rsidRDefault="004E0E92" w:rsidP="002A102F">
            <w:pPr>
              <w:rPr>
                <w:rFonts w:cs="Arial"/>
                <w:sz w:val="24"/>
                <w:szCs w:val="24"/>
              </w:rPr>
            </w:pPr>
            <w:r w:rsidRPr="00BC2009">
              <w:rPr>
                <w:rFonts w:cs="Arial"/>
                <w:sz w:val="24"/>
                <w:szCs w:val="24"/>
              </w:rPr>
              <w:t>-</w:t>
            </w:r>
          </w:p>
        </w:tc>
        <w:tc>
          <w:tcPr>
            <w:tcW w:w="6910" w:type="dxa"/>
            <w:shd w:val="clear" w:color="auto" w:fill="auto"/>
          </w:tcPr>
          <w:p w14:paraId="12EE2326" w14:textId="77777777" w:rsidR="004E0E92" w:rsidRPr="00BC2009" w:rsidRDefault="006901C6" w:rsidP="002A102F">
            <w:pPr>
              <w:rPr>
                <w:rFonts w:cs="Arial"/>
                <w:sz w:val="24"/>
                <w:szCs w:val="24"/>
              </w:rPr>
            </w:pPr>
            <w:r>
              <w:rPr>
                <w:rFonts w:cs="Arial"/>
                <w:sz w:val="24"/>
                <w:szCs w:val="24"/>
              </w:rPr>
              <w:t>Town Centre</w:t>
            </w:r>
            <w:r w:rsidR="00603EDB">
              <w:rPr>
                <w:rFonts w:cs="Arial"/>
                <w:sz w:val="24"/>
                <w:szCs w:val="24"/>
              </w:rPr>
              <w:t xml:space="preserve"> Manager</w:t>
            </w:r>
          </w:p>
        </w:tc>
      </w:tr>
      <w:tr w:rsidR="004E0E92" w:rsidRPr="00BC2009" w14:paraId="4E02EFE8" w14:textId="77777777" w:rsidTr="00083108">
        <w:tc>
          <w:tcPr>
            <w:tcW w:w="1788" w:type="dxa"/>
            <w:shd w:val="clear" w:color="auto" w:fill="auto"/>
          </w:tcPr>
          <w:p w14:paraId="74AED22C" w14:textId="77777777" w:rsidR="004E0E92" w:rsidRPr="00BC2009" w:rsidRDefault="004E0E92" w:rsidP="002A102F">
            <w:pPr>
              <w:rPr>
                <w:rFonts w:cs="Arial"/>
                <w:sz w:val="24"/>
                <w:szCs w:val="24"/>
              </w:rPr>
            </w:pPr>
            <w:r w:rsidRPr="00BC2009">
              <w:rPr>
                <w:rFonts w:cs="Arial"/>
                <w:sz w:val="24"/>
                <w:szCs w:val="24"/>
              </w:rPr>
              <w:t>Telephone</w:t>
            </w:r>
          </w:p>
        </w:tc>
        <w:tc>
          <w:tcPr>
            <w:tcW w:w="296" w:type="dxa"/>
            <w:shd w:val="clear" w:color="auto" w:fill="auto"/>
          </w:tcPr>
          <w:p w14:paraId="71C1D226" w14:textId="77777777" w:rsidR="004E0E92" w:rsidRPr="00BC2009" w:rsidRDefault="004E0E92" w:rsidP="002A102F">
            <w:pPr>
              <w:rPr>
                <w:rFonts w:cs="Arial"/>
                <w:sz w:val="24"/>
                <w:szCs w:val="24"/>
              </w:rPr>
            </w:pPr>
            <w:r w:rsidRPr="00BC2009">
              <w:rPr>
                <w:rFonts w:cs="Arial"/>
                <w:sz w:val="24"/>
                <w:szCs w:val="24"/>
              </w:rPr>
              <w:t>-</w:t>
            </w:r>
          </w:p>
        </w:tc>
        <w:tc>
          <w:tcPr>
            <w:tcW w:w="6910" w:type="dxa"/>
            <w:shd w:val="clear" w:color="auto" w:fill="auto"/>
          </w:tcPr>
          <w:p w14:paraId="33A7F8DC" w14:textId="77777777" w:rsidR="004E0E92" w:rsidRPr="00BC2009" w:rsidRDefault="00603EDB" w:rsidP="002A102F">
            <w:pPr>
              <w:rPr>
                <w:rFonts w:cs="Arial"/>
                <w:sz w:val="24"/>
                <w:szCs w:val="24"/>
              </w:rPr>
            </w:pPr>
            <w:r>
              <w:rPr>
                <w:rFonts w:cs="Arial"/>
                <w:sz w:val="24"/>
                <w:szCs w:val="24"/>
              </w:rPr>
              <w:t>01623 463721</w:t>
            </w:r>
          </w:p>
        </w:tc>
      </w:tr>
      <w:tr w:rsidR="004E0E92" w:rsidRPr="00BC2009" w14:paraId="7E279827" w14:textId="77777777" w:rsidTr="00083108">
        <w:tc>
          <w:tcPr>
            <w:tcW w:w="1788" w:type="dxa"/>
            <w:shd w:val="clear" w:color="auto" w:fill="auto"/>
          </w:tcPr>
          <w:p w14:paraId="61BA64E8" w14:textId="77777777" w:rsidR="004E0E92" w:rsidRPr="00BC2009" w:rsidRDefault="004E0E92" w:rsidP="002A102F">
            <w:pPr>
              <w:rPr>
                <w:rFonts w:cs="Arial"/>
                <w:sz w:val="24"/>
                <w:szCs w:val="24"/>
              </w:rPr>
            </w:pPr>
            <w:r w:rsidRPr="00BC2009">
              <w:rPr>
                <w:rFonts w:cs="Arial"/>
                <w:sz w:val="24"/>
                <w:szCs w:val="24"/>
              </w:rPr>
              <w:t>E-mail</w:t>
            </w:r>
          </w:p>
        </w:tc>
        <w:tc>
          <w:tcPr>
            <w:tcW w:w="296" w:type="dxa"/>
            <w:shd w:val="clear" w:color="auto" w:fill="auto"/>
          </w:tcPr>
          <w:p w14:paraId="46BDF903" w14:textId="77777777" w:rsidR="004E0E92" w:rsidRPr="00BC2009" w:rsidRDefault="004E0E92" w:rsidP="002A102F">
            <w:pPr>
              <w:rPr>
                <w:rFonts w:cs="Arial"/>
                <w:sz w:val="24"/>
                <w:szCs w:val="24"/>
              </w:rPr>
            </w:pPr>
            <w:r w:rsidRPr="00BC2009">
              <w:rPr>
                <w:rFonts w:cs="Arial"/>
                <w:sz w:val="24"/>
                <w:szCs w:val="24"/>
              </w:rPr>
              <w:t>-</w:t>
            </w:r>
          </w:p>
        </w:tc>
        <w:tc>
          <w:tcPr>
            <w:tcW w:w="6910" w:type="dxa"/>
            <w:shd w:val="clear" w:color="auto" w:fill="auto"/>
          </w:tcPr>
          <w:p w14:paraId="0106D50A" w14:textId="77777777" w:rsidR="004E0E92" w:rsidRPr="00BC2009" w:rsidRDefault="00603EDB" w:rsidP="002A102F">
            <w:pPr>
              <w:rPr>
                <w:rFonts w:cs="Arial"/>
                <w:sz w:val="24"/>
                <w:szCs w:val="24"/>
              </w:rPr>
            </w:pPr>
            <w:r>
              <w:rPr>
                <w:rFonts w:cs="Arial"/>
                <w:sz w:val="24"/>
                <w:szCs w:val="24"/>
              </w:rPr>
              <w:t>jsnowdon</w:t>
            </w:r>
            <w:r w:rsidR="004E0E92" w:rsidRPr="00BC2009">
              <w:rPr>
                <w:rFonts w:cs="Arial"/>
                <w:sz w:val="24"/>
                <w:szCs w:val="24"/>
              </w:rPr>
              <w:t>@mansfield.gov.uk</w:t>
            </w:r>
          </w:p>
        </w:tc>
      </w:tr>
    </w:tbl>
    <w:p w14:paraId="500500DC" w14:textId="77777777" w:rsidR="005B7FF0" w:rsidRDefault="005B7FF0" w:rsidP="002A102F"/>
    <w:sectPr w:rsidR="005B7FF0" w:rsidSect="00913AE0">
      <w:pgSz w:w="11906" w:h="16838" w:code="9"/>
      <w:pgMar w:top="567" w:right="1361" w:bottom="567" w:left="1474"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0369" w14:textId="77777777" w:rsidR="00897265" w:rsidRDefault="00897265">
      <w:r>
        <w:separator/>
      </w:r>
    </w:p>
  </w:endnote>
  <w:endnote w:type="continuationSeparator" w:id="0">
    <w:p w14:paraId="30445063" w14:textId="77777777" w:rsidR="00897265" w:rsidRDefault="008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CFF4" w14:textId="77777777" w:rsidR="00897265" w:rsidRDefault="00897265">
      <w:r>
        <w:separator/>
      </w:r>
    </w:p>
  </w:footnote>
  <w:footnote w:type="continuationSeparator" w:id="0">
    <w:p w14:paraId="67C6CD08" w14:textId="77777777" w:rsidR="00897265" w:rsidRDefault="0089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156"/>
    <w:multiLevelType w:val="hybridMultilevel"/>
    <w:tmpl w:val="41B2C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CB5E1E"/>
    <w:multiLevelType w:val="hybridMultilevel"/>
    <w:tmpl w:val="E7484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7C72CE"/>
    <w:multiLevelType w:val="hybridMultilevel"/>
    <w:tmpl w:val="3048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B7191"/>
    <w:multiLevelType w:val="multilevel"/>
    <w:tmpl w:val="35C07C3E"/>
    <w:lvl w:ilvl="0">
      <w:start w:val="5"/>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 w15:restartNumberingAfterBreak="0">
    <w:nsid w:val="0DE820E7"/>
    <w:multiLevelType w:val="hybridMultilevel"/>
    <w:tmpl w:val="EA8ECC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579F8"/>
    <w:multiLevelType w:val="hybridMultilevel"/>
    <w:tmpl w:val="F5A08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A2723C"/>
    <w:multiLevelType w:val="hybridMultilevel"/>
    <w:tmpl w:val="4C26D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6D6803"/>
    <w:multiLevelType w:val="hybridMultilevel"/>
    <w:tmpl w:val="034021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2991977"/>
    <w:multiLevelType w:val="hybridMultilevel"/>
    <w:tmpl w:val="5A68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17D8C"/>
    <w:multiLevelType w:val="hybridMultilevel"/>
    <w:tmpl w:val="BB2C0404"/>
    <w:lvl w:ilvl="0" w:tplc="853851CE">
      <w:start w:val="3"/>
      <w:numFmt w:val="bullet"/>
      <w:lvlText w:val="-"/>
      <w:lvlJc w:val="left"/>
      <w:pPr>
        <w:ind w:left="3840" w:hanging="360"/>
      </w:pPr>
      <w:rPr>
        <w:rFonts w:ascii="Arial" w:eastAsia="Times New Roman" w:hAnsi="Arial" w:cs="Arial" w:hint="default"/>
        <w:b w:val="0"/>
        <w:color w:val="auto"/>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10" w15:restartNumberingAfterBreak="0">
    <w:nsid w:val="15F7535C"/>
    <w:multiLevelType w:val="hybridMultilevel"/>
    <w:tmpl w:val="C9FE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136956"/>
    <w:multiLevelType w:val="hybridMultilevel"/>
    <w:tmpl w:val="3C086D9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D694982A">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94325E"/>
    <w:multiLevelType w:val="multilevel"/>
    <w:tmpl w:val="1FBA783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0A7638"/>
    <w:multiLevelType w:val="hybridMultilevel"/>
    <w:tmpl w:val="151C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00588E"/>
    <w:multiLevelType w:val="hybridMultilevel"/>
    <w:tmpl w:val="FF96D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C348EE"/>
    <w:multiLevelType w:val="hybridMultilevel"/>
    <w:tmpl w:val="0C764B3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FD15C5B"/>
    <w:multiLevelType w:val="hybridMultilevel"/>
    <w:tmpl w:val="ACCEEDEE"/>
    <w:lvl w:ilvl="0" w:tplc="853851CE">
      <w:start w:val="3"/>
      <w:numFmt w:val="bullet"/>
      <w:lvlText w:val="-"/>
      <w:lvlJc w:val="left"/>
      <w:pPr>
        <w:ind w:left="5280" w:hanging="360"/>
      </w:pPr>
      <w:rPr>
        <w:rFonts w:ascii="Arial" w:eastAsia="Times New Roman" w:hAnsi="Arial" w:cs="Arial" w:hint="default"/>
        <w:b w:val="0"/>
        <w:color w:val="auto"/>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11F6CE1"/>
    <w:multiLevelType w:val="hybridMultilevel"/>
    <w:tmpl w:val="821271D4"/>
    <w:lvl w:ilvl="0" w:tplc="BD0ABCCC">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282D91"/>
    <w:multiLevelType w:val="hybridMultilevel"/>
    <w:tmpl w:val="8C2E2A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5DD5471"/>
    <w:multiLevelType w:val="hybridMultilevel"/>
    <w:tmpl w:val="0BB8F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7AE726F"/>
    <w:multiLevelType w:val="hybridMultilevel"/>
    <w:tmpl w:val="C4B0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11A0C"/>
    <w:multiLevelType w:val="hybridMultilevel"/>
    <w:tmpl w:val="CDB412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2CE5029D"/>
    <w:multiLevelType w:val="hybridMultilevel"/>
    <w:tmpl w:val="FC4A4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3418C"/>
    <w:multiLevelType w:val="hybridMultilevel"/>
    <w:tmpl w:val="33B2B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1344CF4"/>
    <w:multiLevelType w:val="hybridMultilevel"/>
    <w:tmpl w:val="08DEA41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326056AC"/>
    <w:multiLevelType w:val="hybridMultilevel"/>
    <w:tmpl w:val="82D24694"/>
    <w:lvl w:ilvl="0" w:tplc="853851CE">
      <w:start w:val="3"/>
      <w:numFmt w:val="bullet"/>
      <w:lvlText w:val="-"/>
      <w:lvlJc w:val="left"/>
      <w:pPr>
        <w:ind w:left="5475" w:hanging="360"/>
      </w:pPr>
      <w:rPr>
        <w:rFonts w:ascii="Arial" w:eastAsia="Times New Roman" w:hAnsi="Arial" w:cs="Arial" w:hint="default"/>
        <w:b w:val="0"/>
        <w:color w:val="auto"/>
      </w:rPr>
    </w:lvl>
    <w:lvl w:ilvl="1" w:tplc="08090003" w:tentative="1">
      <w:start w:val="1"/>
      <w:numFmt w:val="bullet"/>
      <w:lvlText w:val="o"/>
      <w:lvlJc w:val="left"/>
      <w:pPr>
        <w:ind w:left="3075" w:hanging="360"/>
      </w:pPr>
      <w:rPr>
        <w:rFonts w:ascii="Courier New" w:hAnsi="Courier New" w:cs="Courier New" w:hint="default"/>
      </w:rPr>
    </w:lvl>
    <w:lvl w:ilvl="2" w:tplc="08090005">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26" w15:restartNumberingAfterBreak="0">
    <w:nsid w:val="33806D51"/>
    <w:multiLevelType w:val="hybridMultilevel"/>
    <w:tmpl w:val="16C869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AAB7B7A"/>
    <w:multiLevelType w:val="hybridMultilevel"/>
    <w:tmpl w:val="9FD2E6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3D883BA9"/>
    <w:multiLevelType w:val="hybridMultilevel"/>
    <w:tmpl w:val="F9C475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0E135E2"/>
    <w:multiLevelType w:val="hybridMultilevel"/>
    <w:tmpl w:val="9680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A7E19"/>
    <w:multiLevelType w:val="hybridMultilevel"/>
    <w:tmpl w:val="49BC21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C77FA9"/>
    <w:multiLevelType w:val="hybridMultilevel"/>
    <w:tmpl w:val="7F789ED4"/>
    <w:lvl w:ilvl="0" w:tplc="BD0ABC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12297"/>
    <w:multiLevelType w:val="hybridMultilevel"/>
    <w:tmpl w:val="C38EBD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4B624042"/>
    <w:multiLevelType w:val="hybridMultilevel"/>
    <w:tmpl w:val="4DBA42E0"/>
    <w:lvl w:ilvl="0" w:tplc="6D2A7C2C">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BAB2A4B"/>
    <w:multiLevelType w:val="hybridMultilevel"/>
    <w:tmpl w:val="7BFAA6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C577C38"/>
    <w:multiLevelType w:val="hybridMultilevel"/>
    <w:tmpl w:val="8A1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213572"/>
    <w:multiLevelType w:val="hybridMultilevel"/>
    <w:tmpl w:val="40BE2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40E6384"/>
    <w:multiLevelType w:val="hybridMultilevel"/>
    <w:tmpl w:val="F36AAC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BB4055"/>
    <w:multiLevelType w:val="hybridMultilevel"/>
    <w:tmpl w:val="6452394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62A2CB3"/>
    <w:multiLevelType w:val="hybridMultilevel"/>
    <w:tmpl w:val="1FB6DC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BE573CB"/>
    <w:multiLevelType w:val="hybridMultilevel"/>
    <w:tmpl w:val="3EC8F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F316FA1"/>
    <w:multiLevelType w:val="hybridMultilevel"/>
    <w:tmpl w:val="A04C0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0CC1A23"/>
    <w:multiLevelType w:val="hybridMultilevel"/>
    <w:tmpl w:val="AF722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7D1678"/>
    <w:multiLevelType w:val="hybridMultilevel"/>
    <w:tmpl w:val="6D8E45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CA06A5C"/>
    <w:multiLevelType w:val="hybridMultilevel"/>
    <w:tmpl w:val="B538A4B2"/>
    <w:lvl w:ilvl="0" w:tplc="6D2A7C2C">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E3A3956"/>
    <w:multiLevelType w:val="hybridMultilevel"/>
    <w:tmpl w:val="9C06F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3"/>
  </w:num>
  <w:num w:numId="5">
    <w:abstractNumId w:val="30"/>
  </w:num>
  <w:num w:numId="6">
    <w:abstractNumId w:val="15"/>
  </w:num>
  <w:num w:numId="7">
    <w:abstractNumId w:val="42"/>
  </w:num>
  <w:num w:numId="8">
    <w:abstractNumId w:val="29"/>
  </w:num>
  <w:num w:numId="9">
    <w:abstractNumId w:val="33"/>
  </w:num>
  <w:num w:numId="10">
    <w:abstractNumId w:val="34"/>
  </w:num>
  <w:num w:numId="11">
    <w:abstractNumId w:val="38"/>
  </w:num>
  <w:num w:numId="12">
    <w:abstractNumId w:val="44"/>
  </w:num>
  <w:num w:numId="13">
    <w:abstractNumId w:val="24"/>
  </w:num>
  <w:num w:numId="14">
    <w:abstractNumId w:val="37"/>
  </w:num>
  <w:num w:numId="15">
    <w:abstractNumId w:val="9"/>
  </w:num>
  <w:num w:numId="16">
    <w:abstractNumId w:val="16"/>
  </w:num>
  <w:num w:numId="17">
    <w:abstractNumId w:val="25"/>
  </w:num>
  <w:num w:numId="18">
    <w:abstractNumId w:val="32"/>
  </w:num>
  <w:num w:numId="19">
    <w:abstractNumId w:val="4"/>
  </w:num>
  <w:num w:numId="20">
    <w:abstractNumId w:val="41"/>
  </w:num>
  <w:num w:numId="21">
    <w:abstractNumId w:val="28"/>
  </w:num>
  <w:num w:numId="22">
    <w:abstractNumId w:val="27"/>
  </w:num>
  <w:num w:numId="23">
    <w:abstractNumId w:val="26"/>
  </w:num>
  <w:num w:numId="24">
    <w:abstractNumId w:val="8"/>
  </w:num>
  <w:num w:numId="25">
    <w:abstractNumId w:val="5"/>
  </w:num>
  <w:num w:numId="26">
    <w:abstractNumId w:val="39"/>
  </w:num>
  <w:num w:numId="27">
    <w:abstractNumId w:val="43"/>
  </w:num>
  <w:num w:numId="28">
    <w:abstractNumId w:val="20"/>
  </w:num>
  <w:num w:numId="29">
    <w:abstractNumId w:val="21"/>
  </w:num>
  <w:num w:numId="30">
    <w:abstractNumId w:val="40"/>
  </w:num>
  <w:num w:numId="31">
    <w:abstractNumId w:val="12"/>
  </w:num>
  <w:num w:numId="32">
    <w:abstractNumId w:val="6"/>
  </w:num>
  <w:num w:numId="33">
    <w:abstractNumId w:val="35"/>
  </w:num>
  <w:num w:numId="34">
    <w:abstractNumId w:val="7"/>
  </w:num>
  <w:num w:numId="35">
    <w:abstractNumId w:val="10"/>
  </w:num>
  <w:num w:numId="36">
    <w:abstractNumId w:val="13"/>
  </w:num>
  <w:num w:numId="37">
    <w:abstractNumId w:val="2"/>
  </w:num>
  <w:num w:numId="38">
    <w:abstractNumId w:val="1"/>
  </w:num>
  <w:num w:numId="39">
    <w:abstractNumId w:val="19"/>
  </w:num>
  <w:num w:numId="40">
    <w:abstractNumId w:val="0"/>
  </w:num>
  <w:num w:numId="41">
    <w:abstractNumId w:val="23"/>
  </w:num>
  <w:num w:numId="42">
    <w:abstractNumId w:val="45"/>
  </w:num>
  <w:num w:numId="43">
    <w:abstractNumId w:val="31"/>
  </w:num>
  <w:num w:numId="44">
    <w:abstractNumId w:val="17"/>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2"/>
    <w:rsid w:val="00003E79"/>
    <w:rsid w:val="00013018"/>
    <w:rsid w:val="0001431E"/>
    <w:rsid w:val="0001773C"/>
    <w:rsid w:val="00022E79"/>
    <w:rsid w:val="00046FBE"/>
    <w:rsid w:val="00055768"/>
    <w:rsid w:val="00055BFB"/>
    <w:rsid w:val="000662E9"/>
    <w:rsid w:val="000673F6"/>
    <w:rsid w:val="000811C5"/>
    <w:rsid w:val="00082B6E"/>
    <w:rsid w:val="00083108"/>
    <w:rsid w:val="00085785"/>
    <w:rsid w:val="00085CDB"/>
    <w:rsid w:val="00091562"/>
    <w:rsid w:val="00092432"/>
    <w:rsid w:val="00095C2D"/>
    <w:rsid w:val="000A14E5"/>
    <w:rsid w:val="000A358A"/>
    <w:rsid w:val="000B000F"/>
    <w:rsid w:val="000B54D4"/>
    <w:rsid w:val="000C7E6D"/>
    <w:rsid w:val="000E045D"/>
    <w:rsid w:val="000E65A3"/>
    <w:rsid w:val="000F57CB"/>
    <w:rsid w:val="000F5D96"/>
    <w:rsid w:val="000F7117"/>
    <w:rsid w:val="00105A5D"/>
    <w:rsid w:val="0010683B"/>
    <w:rsid w:val="00121F28"/>
    <w:rsid w:val="00126B79"/>
    <w:rsid w:val="001461D0"/>
    <w:rsid w:val="00150717"/>
    <w:rsid w:val="0015143F"/>
    <w:rsid w:val="001520C5"/>
    <w:rsid w:val="00152F03"/>
    <w:rsid w:val="001639C1"/>
    <w:rsid w:val="001674D2"/>
    <w:rsid w:val="001679DD"/>
    <w:rsid w:val="0017027A"/>
    <w:rsid w:val="00181EF7"/>
    <w:rsid w:val="00182B61"/>
    <w:rsid w:val="00182D10"/>
    <w:rsid w:val="00186068"/>
    <w:rsid w:val="001961C3"/>
    <w:rsid w:val="00196C9B"/>
    <w:rsid w:val="001A1543"/>
    <w:rsid w:val="001A7CD0"/>
    <w:rsid w:val="001B10C1"/>
    <w:rsid w:val="001B7CB2"/>
    <w:rsid w:val="001C1583"/>
    <w:rsid w:val="001C36A4"/>
    <w:rsid w:val="001C4D4E"/>
    <w:rsid w:val="001D0AFD"/>
    <w:rsid w:val="001E1FBB"/>
    <w:rsid w:val="001E4D39"/>
    <w:rsid w:val="001F3FE1"/>
    <w:rsid w:val="001F4E20"/>
    <w:rsid w:val="001F5D7D"/>
    <w:rsid w:val="00211926"/>
    <w:rsid w:val="002212A0"/>
    <w:rsid w:val="00252187"/>
    <w:rsid w:val="00260848"/>
    <w:rsid w:val="00262CAF"/>
    <w:rsid w:val="00263B66"/>
    <w:rsid w:val="00265501"/>
    <w:rsid w:val="0026687F"/>
    <w:rsid w:val="00266B9F"/>
    <w:rsid w:val="0026740C"/>
    <w:rsid w:val="00273927"/>
    <w:rsid w:val="00274512"/>
    <w:rsid w:val="00274C47"/>
    <w:rsid w:val="0028047E"/>
    <w:rsid w:val="00280ECF"/>
    <w:rsid w:val="0028445A"/>
    <w:rsid w:val="00285E5E"/>
    <w:rsid w:val="002A102F"/>
    <w:rsid w:val="002A2B98"/>
    <w:rsid w:val="002A4213"/>
    <w:rsid w:val="002A7FB6"/>
    <w:rsid w:val="002B2D18"/>
    <w:rsid w:val="002B3730"/>
    <w:rsid w:val="002B627A"/>
    <w:rsid w:val="002B7848"/>
    <w:rsid w:val="002C0492"/>
    <w:rsid w:val="002C0910"/>
    <w:rsid w:val="002C33C7"/>
    <w:rsid w:val="002C52C3"/>
    <w:rsid w:val="002E086E"/>
    <w:rsid w:val="0030230F"/>
    <w:rsid w:val="00305386"/>
    <w:rsid w:val="003055A9"/>
    <w:rsid w:val="00306003"/>
    <w:rsid w:val="00314E54"/>
    <w:rsid w:val="00317544"/>
    <w:rsid w:val="00324C62"/>
    <w:rsid w:val="0032681D"/>
    <w:rsid w:val="00333D94"/>
    <w:rsid w:val="00341B14"/>
    <w:rsid w:val="00342EEF"/>
    <w:rsid w:val="00345514"/>
    <w:rsid w:val="00346ABE"/>
    <w:rsid w:val="00356CA7"/>
    <w:rsid w:val="003575C0"/>
    <w:rsid w:val="00357AC7"/>
    <w:rsid w:val="00362520"/>
    <w:rsid w:val="00367DFA"/>
    <w:rsid w:val="00371EEB"/>
    <w:rsid w:val="003814B8"/>
    <w:rsid w:val="003831DA"/>
    <w:rsid w:val="00390D39"/>
    <w:rsid w:val="0039272D"/>
    <w:rsid w:val="003A0639"/>
    <w:rsid w:val="003A250A"/>
    <w:rsid w:val="003A57AD"/>
    <w:rsid w:val="003A619F"/>
    <w:rsid w:val="003A7A9D"/>
    <w:rsid w:val="003B735F"/>
    <w:rsid w:val="003C5078"/>
    <w:rsid w:val="003D0B68"/>
    <w:rsid w:val="003D4150"/>
    <w:rsid w:val="003E1E44"/>
    <w:rsid w:val="003F361A"/>
    <w:rsid w:val="00402E98"/>
    <w:rsid w:val="00404ABD"/>
    <w:rsid w:val="00411C05"/>
    <w:rsid w:val="0041652F"/>
    <w:rsid w:val="004208A7"/>
    <w:rsid w:val="00437A4A"/>
    <w:rsid w:val="004419FE"/>
    <w:rsid w:val="00443092"/>
    <w:rsid w:val="00453D3E"/>
    <w:rsid w:val="00455680"/>
    <w:rsid w:val="00467530"/>
    <w:rsid w:val="00474D0B"/>
    <w:rsid w:val="0048776D"/>
    <w:rsid w:val="00493862"/>
    <w:rsid w:val="004A2D33"/>
    <w:rsid w:val="004A3D17"/>
    <w:rsid w:val="004B0ADB"/>
    <w:rsid w:val="004B2B88"/>
    <w:rsid w:val="004B4E76"/>
    <w:rsid w:val="004C2E94"/>
    <w:rsid w:val="004D5483"/>
    <w:rsid w:val="004E0E92"/>
    <w:rsid w:val="004E7D8C"/>
    <w:rsid w:val="004F1EEB"/>
    <w:rsid w:val="00503050"/>
    <w:rsid w:val="0050480B"/>
    <w:rsid w:val="00510717"/>
    <w:rsid w:val="0051495F"/>
    <w:rsid w:val="00515639"/>
    <w:rsid w:val="00530533"/>
    <w:rsid w:val="00530E3A"/>
    <w:rsid w:val="00530F64"/>
    <w:rsid w:val="005354A4"/>
    <w:rsid w:val="005358A3"/>
    <w:rsid w:val="00540450"/>
    <w:rsid w:val="00542198"/>
    <w:rsid w:val="005456CB"/>
    <w:rsid w:val="00545736"/>
    <w:rsid w:val="00545D8E"/>
    <w:rsid w:val="00554261"/>
    <w:rsid w:val="00554616"/>
    <w:rsid w:val="00556D50"/>
    <w:rsid w:val="00560D13"/>
    <w:rsid w:val="00562D8A"/>
    <w:rsid w:val="00570FA2"/>
    <w:rsid w:val="0058271E"/>
    <w:rsid w:val="005827C2"/>
    <w:rsid w:val="0059767C"/>
    <w:rsid w:val="005A3095"/>
    <w:rsid w:val="005A4D5D"/>
    <w:rsid w:val="005A6AB0"/>
    <w:rsid w:val="005B7FF0"/>
    <w:rsid w:val="005C2BA6"/>
    <w:rsid w:val="005F3310"/>
    <w:rsid w:val="005F65A3"/>
    <w:rsid w:val="00601EF3"/>
    <w:rsid w:val="00602687"/>
    <w:rsid w:val="00603EDB"/>
    <w:rsid w:val="00605B71"/>
    <w:rsid w:val="006125DC"/>
    <w:rsid w:val="006135EA"/>
    <w:rsid w:val="006206C6"/>
    <w:rsid w:val="00621AFA"/>
    <w:rsid w:val="00622162"/>
    <w:rsid w:val="00623446"/>
    <w:rsid w:val="00625ED0"/>
    <w:rsid w:val="00632121"/>
    <w:rsid w:val="00634E8E"/>
    <w:rsid w:val="0063572E"/>
    <w:rsid w:val="00653B80"/>
    <w:rsid w:val="00656669"/>
    <w:rsid w:val="00667FED"/>
    <w:rsid w:val="00684DCE"/>
    <w:rsid w:val="00685106"/>
    <w:rsid w:val="006901C6"/>
    <w:rsid w:val="0069340F"/>
    <w:rsid w:val="006A069F"/>
    <w:rsid w:val="006A473E"/>
    <w:rsid w:val="006A7BF1"/>
    <w:rsid w:val="006B05DB"/>
    <w:rsid w:val="006B375A"/>
    <w:rsid w:val="006B37C0"/>
    <w:rsid w:val="006B560D"/>
    <w:rsid w:val="006B7282"/>
    <w:rsid w:val="006C0DA5"/>
    <w:rsid w:val="006C234F"/>
    <w:rsid w:val="006C2A85"/>
    <w:rsid w:val="006C4CEF"/>
    <w:rsid w:val="006C4FEA"/>
    <w:rsid w:val="006D2A8E"/>
    <w:rsid w:val="006F7D22"/>
    <w:rsid w:val="007025B7"/>
    <w:rsid w:val="00711956"/>
    <w:rsid w:val="0072280A"/>
    <w:rsid w:val="007273D6"/>
    <w:rsid w:val="00727B2A"/>
    <w:rsid w:val="007355EF"/>
    <w:rsid w:val="007409E5"/>
    <w:rsid w:val="00743F93"/>
    <w:rsid w:val="00745083"/>
    <w:rsid w:val="007514E2"/>
    <w:rsid w:val="00757CCF"/>
    <w:rsid w:val="00762D6C"/>
    <w:rsid w:val="00766C43"/>
    <w:rsid w:val="00771F0B"/>
    <w:rsid w:val="00775962"/>
    <w:rsid w:val="0078204F"/>
    <w:rsid w:val="0078780F"/>
    <w:rsid w:val="007917B0"/>
    <w:rsid w:val="00791CD3"/>
    <w:rsid w:val="00791F58"/>
    <w:rsid w:val="00795D7F"/>
    <w:rsid w:val="007A1746"/>
    <w:rsid w:val="007B0AC3"/>
    <w:rsid w:val="007D10E4"/>
    <w:rsid w:val="007D2EDD"/>
    <w:rsid w:val="007D6F5D"/>
    <w:rsid w:val="007E5565"/>
    <w:rsid w:val="007E7494"/>
    <w:rsid w:val="007E7EEC"/>
    <w:rsid w:val="007F44ED"/>
    <w:rsid w:val="008034FB"/>
    <w:rsid w:val="008035F6"/>
    <w:rsid w:val="0080566F"/>
    <w:rsid w:val="008129A1"/>
    <w:rsid w:val="00815C18"/>
    <w:rsid w:val="00815C8E"/>
    <w:rsid w:val="008257DB"/>
    <w:rsid w:val="008324A4"/>
    <w:rsid w:val="00832F87"/>
    <w:rsid w:val="00841F2C"/>
    <w:rsid w:val="00842E14"/>
    <w:rsid w:val="00847816"/>
    <w:rsid w:val="008579C9"/>
    <w:rsid w:val="00863430"/>
    <w:rsid w:val="00864734"/>
    <w:rsid w:val="0086749F"/>
    <w:rsid w:val="008778AB"/>
    <w:rsid w:val="00883F30"/>
    <w:rsid w:val="008914F5"/>
    <w:rsid w:val="0089436A"/>
    <w:rsid w:val="00897265"/>
    <w:rsid w:val="00897CC7"/>
    <w:rsid w:val="008A6617"/>
    <w:rsid w:val="008B0128"/>
    <w:rsid w:val="008B0639"/>
    <w:rsid w:val="008B4255"/>
    <w:rsid w:val="008B62AA"/>
    <w:rsid w:val="008C180E"/>
    <w:rsid w:val="008C6487"/>
    <w:rsid w:val="008D66E4"/>
    <w:rsid w:val="008D67C4"/>
    <w:rsid w:val="008D7807"/>
    <w:rsid w:val="008E1E51"/>
    <w:rsid w:val="008E634F"/>
    <w:rsid w:val="008F181F"/>
    <w:rsid w:val="008F3BC2"/>
    <w:rsid w:val="008F3C2C"/>
    <w:rsid w:val="008F7ABE"/>
    <w:rsid w:val="00901787"/>
    <w:rsid w:val="00913A8D"/>
    <w:rsid w:val="00913AE0"/>
    <w:rsid w:val="00914057"/>
    <w:rsid w:val="00920B40"/>
    <w:rsid w:val="00920F31"/>
    <w:rsid w:val="00922A1B"/>
    <w:rsid w:val="009310CB"/>
    <w:rsid w:val="009325ED"/>
    <w:rsid w:val="00932A6B"/>
    <w:rsid w:val="00940D0B"/>
    <w:rsid w:val="0094349D"/>
    <w:rsid w:val="0095173C"/>
    <w:rsid w:val="00960027"/>
    <w:rsid w:val="0096500E"/>
    <w:rsid w:val="00976659"/>
    <w:rsid w:val="00985FC1"/>
    <w:rsid w:val="00993658"/>
    <w:rsid w:val="00996B39"/>
    <w:rsid w:val="009A1691"/>
    <w:rsid w:val="009B4256"/>
    <w:rsid w:val="009C04D1"/>
    <w:rsid w:val="009D0E55"/>
    <w:rsid w:val="009D11C4"/>
    <w:rsid w:val="009D3807"/>
    <w:rsid w:val="009D4963"/>
    <w:rsid w:val="009D715B"/>
    <w:rsid w:val="009E4F14"/>
    <w:rsid w:val="009E7CFE"/>
    <w:rsid w:val="009F5B47"/>
    <w:rsid w:val="009F5FD5"/>
    <w:rsid w:val="00A03D54"/>
    <w:rsid w:val="00A05545"/>
    <w:rsid w:val="00A26E2A"/>
    <w:rsid w:val="00A339D6"/>
    <w:rsid w:val="00A37067"/>
    <w:rsid w:val="00A37EB8"/>
    <w:rsid w:val="00A40C97"/>
    <w:rsid w:val="00A40ECD"/>
    <w:rsid w:val="00A41B0E"/>
    <w:rsid w:val="00A44780"/>
    <w:rsid w:val="00A45DF2"/>
    <w:rsid w:val="00A46A41"/>
    <w:rsid w:val="00A50A3F"/>
    <w:rsid w:val="00A615E9"/>
    <w:rsid w:val="00A62D33"/>
    <w:rsid w:val="00A660CA"/>
    <w:rsid w:val="00A76BFE"/>
    <w:rsid w:val="00A85E15"/>
    <w:rsid w:val="00A86319"/>
    <w:rsid w:val="00A91B16"/>
    <w:rsid w:val="00AA1767"/>
    <w:rsid w:val="00AA1805"/>
    <w:rsid w:val="00AB60D0"/>
    <w:rsid w:val="00AB789D"/>
    <w:rsid w:val="00AC4BBA"/>
    <w:rsid w:val="00AC55F5"/>
    <w:rsid w:val="00AC5756"/>
    <w:rsid w:val="00AD4EA0"/>
    <w:rsid w:val="00AE0E51"/>
    <w:rsid w:val="00AE3410"/>
    <w:rsid w:val="00AF09DF"/>
    <w:rsid w:val="00B05523"/>
    <w:rsid w:val="00B24D61"/>
    <w:rsid w:val="00B32D05"/>
    <w:rsid w:val="00B406EA"/>
    <w:rsid w:val="00B431E0"/>
    <w:rsid w:val="00B45993"/>
    <w:rsid w:val="00B52FD5"/>
    <w:rsid w:val="00B731BA"/>
    <w:rsid w:val="00B7381A"/>
    <w:rsid w:val="00B73B2E"/>
    <w:rsid w:val="00B773E6"/>
    <w:rsid w:val="00B77667"/>
    <w:rsid w:val="00B86F1E"/>
    <w:rsid w:val="00B91DE5"/>
    <w:rsid w:val="00B9580F"/>
    <w:rsid w:val="00B95BEC"/>
    <w:rsid w:val="00B96A0E"/>
    <w:rsid w:val="00B97B71"/>
    <w:rsid w:val="00BA0B6A"/>
    <w:rsid w:val="00BA0CF3"/>
    <w:rsid w:val="00BA43A5"/>
    <w:rsid w:val="00BA7217"/>
    <w:rsid w:val="00BB0933"/>
    <w:rsid w:val="00BB301F"/>
    <w:rsid w:val="00BB486D"/>
    <w:rsid w:val="00BB6031"/>
    <w:rsid w:val="00BC5667"/>
    <w:rsid w:val="00BC5D07"/>
    <w:rsid w:val="00BC6624"/>
    <w:rsid w:val="00BD4CBD"/>
    <w:rsid w:val="00BE1F96"/>
    <w:rsid w:val="00BE73E2"/>
    <w:rsid w:val="00BF0543"/>
    <w:rsid w:val="00BF1D18"/>
    <w:rsid w:val="00BF2C9B"/>
    <w:rsid w:val="00BF3F78"/>
    <w:rsid w:val="00C00524"/>
    <w:rsid w:val="00C01ECD"/>
    <w:rsid w:val="00C026DC"/>
    <w:rsid w:val="00C155C8"/>
    <w:rsid w:val="00C15ADE"/>
    <w:rsid w:val="00C15B4B"/>
    <w:rsid w:val="00C20BDD"/>
    <w:rsid w:val="00C306BE"/>
    <w:rsid w:val="00C36504"/>
    <w:rsid w:val="00C367F3"/>
    <w:rsid w:val="00C50BC8"/>
    <w:rsid w:val="00C608A3"/>
    <w:rsid w:val="00C61554"/>
    <w:rsid w:val="00C61792"/>
    <w:rsid w:val="00C64B22"/>
    <w:rsid w:val="00C64D1A"/>
    <w:rsid w:val="00C67F89"/>
    <w:rsid w:val="00C73E01"/>
    <w:rsid w:val="00C836A2"/>
    <w:rsid w:val="00C86B75"/>
    <w:rsid w:val="00C92FCD"/>
    <w:rsid w:val="00C9342E"/>
    <w:rsid w:val="00C94165"/>
    <w:rsid w:val="00C94EFF"/>
    <w:rsid w:val="00C96381"/>
    <w:rsid w:val="00C97833"/>
    <w:rsid w:val="00CA3751"/>
    <w:rsid w:val="00CB1A7B"/>
    <w:rsid w:val="00CB27F7"/>
    <w:rsid w:val="00CB5D91"/>
    <w:rsid w:val="00CC103D"/>
    <w:rsid w:val="00CC118F"/>
    <w:rsid w:val="00CD3382"/>
    <w:rsid w:val="00CE068C"/>
    <w:rsid w:val="00CE54BB"/>
    <w:rsid w:val="00CF6BC7"/>
    <w:rsid w:val="00CF710C"/>
    <w:rsid w:val="00D05F41"/>
    <w:rsid w:val="00D24701"/>
    <w:rsid w:val="00D30AB6"/>
    <w:rsid w:val="00D33177"/>
    <w:rsid w:val="00D33E44"/>
    <w:rsid w:val="00D43A34"/>
    <w:rsid w:val="00D45BB5"/>
    <w:rsid w:val="00D476CC"/>
    <w:rsid w:val="00D540E7"/>
    <w:rsid w:val="00D57A64"/>
    <w:rsid w:val="00D70607"/>
    <w:rsid w:val="00D77A39"/>
    <w:rsid w:val="00D8261A"/>
    <w:rsid w:val="00D92743"/>
    <w:rsid w:val="00DA7CEC"/>
    <w:rsid w:val="00DB1763"/>
    <w:rsid w:val="00DB18DB"/>
    <w:rsid w:val="00DD2366"/>
    <w:rsid w:val="00DD2E8E"/>
    <w:rsid w:val="00DD4707"/>
    <w:rsid w:val="00DE69A9"/>
    <w:rsid w:val="00DE7382"/>
    <w:rsid w:val="00DE7A00"/>
    <w:rsid w:val="00DF1233"/>
    <w:rsid w:val="00DF5EFE"/>
    <w:rsid w:val="00E013E2"/>
    <w:rsid w:val="00E17FCA"/>
    <w:rsid w:val="00E17FF7"/>
    <w:rsid w:val="00E228E8"/>
    <w:rsid w:val="00E244FE"/>
    <w:rsid w:val="00E328A5"/>
    <w:rsid w:val="00E363D4"/>
    <w:rsid w:val="00E44390"/>
    <w:rsid w:val="00E4484D"/>
    <w:rsid w:val="00E613D5"/>
    <w:rsid w:val="00E61EDA"/>
    <w:rsid w:val="00E80E1B"/>
    <w:rsid w:val="00E82169"/>
    <w:rsid w:val="00E8304A"/>
    <w:rsid w:val="00E8361E"/>
    <w:rsid w:val="00E85CFD"/>
    <w:rsid w:val="00E93A42"/>
    <w:rsid w:val="00E963BE"/>
    <w:rsid w:val="00EA11B5"/>
    <w:rsid w:val="00EA33BE"/>
    <w:rsid w:val="00EA6E5C"/>
    <w:rsid w:val="00EC1800"/>
    <w:rsid w:val="00EC1B65"/>
    <w:rsid w:val="00EC1C15"/>
    <w:rsid w:val="00EC2764"/>
    <w:rsid w:val="00ED1196"/>
    <w:rsid w:val="00EE07EC"/>
    <w:rsid w:val="00EE367E"/>
    <w:rsid w:val="00EF27CF"/>
    <w:rsid w:val="00EF6FC3"/>
    <w:rsid w:val="00EF71E6"/>
    <w:rsid w:val="00F045C2"/>
    <w:rsid w:val="00F11239"/>
    <w:rsid w:val="00F11E80"/>
    <w:rsid w:val="00F16FED"/>
    <w:rsid w:val="00F17A96"/>
    <w:rsid w:val="00F21C15"/>
    <w:rsid w:val="00F232A4"/>
    <w:rsid w:val="00F24E50"/>
    <w:rsid w:val="00F319EF"/>
    <w:rsid w:val="00F44DD3"/>
    <w:rsid w:val="00F51E5D"/>
    <w:rsid w:val="00F653E5"/>
    <w:rsid w:val="00F82E80"/>
    <w:rsid w:val="00F9064F"/>
    <w:rsid w:val="00F906C0"/>
    <w:rsid w:val="00F9549A"/>
    <w:rsid w:val="00F95679"/>
    <w:rsid w:val="00FA6741"/>
    <w:rsid w:val="00FB3A51"/>
    <w:rsid w:val="00FB6484"/>
    <w:rsid w:val="00FC3A14"/>
    <w:rsid w:val="00FC4402"/>
    <w:rsid w:val="00FE0559"/>
    <w:rsid w:val="00FE185C"/>
    <w:rsid w:val="00FE4883"/>
    <w:rsid w:val="00FE64ED"/>
    <w:rsid w:val="00FE7F17"/>
    <w:rsid w:val="00FF7685"/>
    <w:rsid w:val="00FF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3CFA4F"/>
  <w15:docId w15:val="{6A8A299B-C74B-4F6A-BF5A-4DFB5C93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CB"/>
    <w:pPr>
      <w:spacing w:after="0" w:line="240" w:lineRule="auto"/>
      <w:jc w:val="both"/>
    </w:pPr>
    <w:rPr>
      <w:rFonts w:eastAsia="Times New Roman"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0E92"/>
    <w:pPr>
      <w:tabs>
        <w:tab w:val="center" w:pos="4153"/>
        <w:tab w:val="right" w:pos="8306"/>
      </w:tabs>
    </w:pPr>
  </w:style>
  <w:style w:type="character" w:customStyle="1" w:styleId="HeaderChar">
    <w:name w:val="Header Char"/>
    <w:basedOn w:val="DefaultParagraphFont"/>
    <w:link w:val="Header"/>
    <w:rsid w:val="004E0E92"/>
    <w:rPr>
      <w:rFonts w:eastAsia="Times New Roman" w:cs="Times New Roman"/>
      <w:sz w:val="22"/>
      <w:lang w:eastAsia="en-GB"/>
    </w:rPr>
  </w:style>
  <w:style w:type="paragraph" w:styleId="BalloonText">
    <w:name w:val="Balloon Text"/>
    <w:basedOn w:val="Normal"/>
    <w:link w:val="BalloonTextChar"/>
    <w:uiPriority w:val="99"/>
    <w:semiHidden/>
    <w:unhideWhenUsed/>
    <w:rsid w:val="004E0E92"/>
    <w:rPr>
      <w:rFonts w:ascii="Tahoma" w:hAnsi="Tahoma" w:cs="Tahoma"/>
      <w:sz w:val="16"/>
      <w:szCs w:val="16"/>
    </w:rPr>
  </w:style>
  <w:style w:type="character" w:customStyle="1" w:styleId="BalloonTextChar">
    <w:name w:val="Balloon Text Char"/>
    <w:basedOn w:val="DefaultParagraphFont"/>
    <w:link w:val="BalloonText"/>
    <w:uiPriority w:val="99"/>
    <w:semiHidden/>
    <w:rsid w:val="004E0E92"/>
    <w:rPr>
      <w:rFonts w:ascii="Tahoma" w:eastAsia="Times New Roman" w:hAnsi="Tahoma" w:cs="Tahoma"/>
      <w:sz w:val="16"/>
      <w:szCs w:val="16"/>
      <w:lang w:eastAsia="en-GB"/>
    </w:rPr>
  </w:style>
  <w:style w:type="paragraph" w:styleId="Footer">
    <w:name w:val="footer"/>
    <w:basedOn w:val="Normal"/>
    <w:link w:val="FooterChar"/>
    <w:uiPriority w:val="99"/>
    <w:unhideWhenUsed/>
    <w:rsid w:val="00493862"/>
    <w:pPr>
      <w:tabs>
        <w:tab w:val="center" w:pos="4513"/>
        <w:tab w:val="right" w:pos="9026"/>
      </w:tabs>
    </w:pPr>
  </w:style>
  <w:style w:type="character" w:customStyle="1" w:styleId="FooterChar">
    <w:name w:val="Footer Char"/>
    <w:basedOn w:val="DefaultParagraphFont"/>
    <w:link w:val="Footer"/>
    <w:uiPriority w:val="99"/>
    <w:rsid w:val="00493862"/>
    <w:rPr>
      <w:rFonts w:eastAsia="Times New Roman" w:cs="Times New Roman"/>
      <w:sz w:val="22"/>
      <w:lang w:eastAsia="en-GB"/>
    </w:rPr>
  </w:style>
  <w:style w:type="paragraph" w:styleId="ListParagraph">
    <w:name w:val="List Paragraph"/>
    <w:basedOn w:val="Normal"/>
    <w:uiPriority w:val="34"/>
    <w:qFormat/>
    <w:rsid w:val="00BB301F"/>
    <w:pPr>
      <w:ind w:left="720"/>
      <w:contextualSpacing/>
    </w:pPr>
  </w:style>
  <w:style w:type="table" w:styleId="TableGrid">
    <w:name w:val="Table Grid"/>
    <w:basedOn w:val="TableNormal"/>
    <w:uiPriority w:val="59"/>
    <w:rsid w:val="0051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E79"/>
    <w:rPr>
      <w:sz w:val="16"/>
      <w:szCs w:val="16"/>
    </w:rPr>
  </w:style>
  <w:style w:type="paragraph" w:styleId="CommentText">
    <w:name w:val="annotation text"/>
    <w:basedOn w:val="Normal"/>
    <w:link w:val="CommentTextChar"/>
    <w:uiPriority w:val="99"/>
    <w:semiHidden/>
    <w:unhideWhenUsed/>
    <w:rsid w:val="00022E79"/>
    <w:rPr>
      <w:sz w:val="20"/>
      <w:szCs w:val="20"/>
    </w:rPr>
  </w:style>
  <w:style w:type="character" w:customStyle="1" w:styleId="CommentTextChar">
    <w:name w:val="Comment Text Char"/>
    <w:basedOn w:val="DefaultParagraphFont"/>
    <w:link w:val="CommentText"/>
    <w:uiPriority w:val="99"/>
    <w:semiHidden/>
    <w:rsid w:val="00022E7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2E79"/>
    <w:rPr>
      <w:b/>
      <w:bCs/>
    </w:rPr>
  </w:style>
  <w:style w:type="character" w:customStyle="1" w:styleId="CommentSubjectChar">
    <w:name w:val="Comment Subject Char"/>
    <w:basedOn w:val="CommentTextChar"/>
    <w:link w:val="CommentSubject"/>
    <w:uiPriority w:val="99"/>
    <w:semiHidden/>
    <w:rsid w:val="00022E79"/>
    <w:rPr>
      <w:rFonts w:eastAsia="Times New Roman" w:cs="Times New Roman"/>
      <w:b/>
      <w:bCs/>
      <w:sz w:val="20"/>
      <w:szCs w:val="20"/>
      <w:lang w:eastAsia="en-GB"/>
    </w:rPr>
  </w:style>
  <w:style w:type="paragraph" w:styleId="NoSpacing">
    <w:name w:val="No Spacing"/>
    <w:uiPriority w:val="1"/>
    <w:qFormat/>
    <w:rsid w:val="00150717"/>
    <w:pPr>
      <w:spacing w:after="0" w:line="240" w:lineRule="auto"/>
    </w:pPr>
    <w:rPr>
      <w:rFonts w:asciiTheme="minorHAnsi" w:hAnsiTheme="minorHAnsi"/>
      <w:sz w:val="22"/>
    </w:rPr>
  </w:style>
  <w:style w:type="paragraph" w:styleId="PlainText">
    <w:name w:val="Plain Text"/>
    <w:basedOn w:val="Normal"/>
    <w:link w:val="PlainTextChar"/>
    <w:uiPriority w:val="99"/>
    <w:unhideWhenUsed/>
    <w:rsid w:val="001520C5"/>
    <w:pPr>
      <w:jc w:val="left"/>
    </w:pPr>
    <w:rPr>
      <w:rFonts w:eastAsiaTheme="minorHAnsi" w:cstheme="minorBidi"/>
      <w:sz w:val="24"/>
      <w:szCs w:val="21"/>
      <w:lang w:val="en-US" w:eastAsia="en-US"/>
    </w:rPr>
  </w:style>
  <w:style w:type="character" w:customStyle="1" w:styleId="PlainTextChar">
    <w:name w:val="Plain Text Char"/>
    <w:basedOn w:val="DefaultParagraphFont"/>
    <w:link w:val="PlainText"/>
    <w:uiPriority w:val="99"/>
    <w:rsid w:val="001520C5"/>
    <w:rPr>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47">
      <w:bodyDiv w:val="1"/>
      <w:marLeft w:val="0"/>
      <w:marRight w:val="0"/>
      <w:marTop w:val="0"/>
      <w:marBottom w:val="0"/>
      <w:divBdr>
        <w:top w:val="none" w:sz="0" w:space="0" w:color="auto"/>
        <w:left w:val="none" w:sz="0" w:space="0" w:color="auto"/>
        <w:bottom w:val="none" w:sz="0" w:space="0" w:color="auto"/>
        <w:right w:val="none" w:sz="0" w:space="0" w:color="auto"/>
      </w:divBdr>
    </w:div>
    <w:div w:id="58135205">
      <w:bodyDiv w:val="1"/>
      <w:marLeft w:val="0"/>
      <w:marRight w:val="0"/>
      <w:marTop w:val="0"/>
      <w:marBottom w:val="0"/>
      <w:divBdr>
        <w:top w:val="none" w:sz="0" w:space="0" w:color="auto"/>
        <w:left w:val="none" w:sz="0" w:space="0" w:color="auto"/>
        <w:bottom w:val="none" w:sz="0" w:space="0" w:color="auto"/>
        <w:right w:val="none" w:sz="0" w:space="0" w:color="auto"/>
      </w:divBdr>
    </w:div>
    <w:div w:id="133260384">
      <w:bodyDiv w:val="1"/>
      <w:marLeft w:val="0"/>
      <w:marRight w:val="0"/>
      <w:marTop w:val="0"/>
      <w:marBottom w:val="0"/>
      <w:divBdr>
        <w:top w:val="none" w:sz="0" w:space="0" w:color="auto"/>
        <w:left w:val="none" w:sz="0" w:space="0" w:color="auto"/>
        <w:bottom w:val="none" w:sz="0" w:space="0" w:color="auto"/>
        <w:right w:val="none" w:sz="0" w:space="0" w:color="auto"/>
      </w:divBdr>
    </w:div>
    <w:div w:id="176240285">
      <w:bodyDiv w:val="1"/>
      <w:marLeft w:val="0"/>
      <w:marRight w:val="0"/>
      <w:marTop w:val="0"/>
      <w:marBottom w:val="0"/>
      <w:divBdr>
        <w:top w:val="none" w:sz="0" w:space="0" w:color="auto"/>
        <w:left w:val="none" w:sz="0" w:space="0" w:color="auto"/>
        <w:bottom w:val="none" w:sz="0" w:space="0" w:color="auto"/>
        <w:right w:val="none" w:sz="0" w:space="0" w:color="auto"/>
      </w:divBdr>
    </w:div>
    <w:div w:id="288515060">
      <w:bodyDiv w:val="1"/>
      <w:marLeft w:val="0"/>
      <w:marRight w:val="0"/>
      <w:marTop w:val="0"/>
      <w:marBottom w:val="0"/>
      <w:divBdr>
        <w:top w:val="none" w:sz="0" w:space="0" w:color="auto"/>
        <w:left w:val="none" w:sz="0" w:space="0" w:color="auto"/>
        <w:bottom w:val="none" w:sz="0" w:space="0" w:color="auto"/>
        <w:right w:val="none" w:sz="0" w:space="0" w:color="auto"/>
      </w:divBdr>
    </w:div>
    <w:div w:id="350881691">
      <w:bodyDiv w:val="1"/>
      <w:marLeft w:val="0"/>
      <w:marRight w:val="0"/>
      <w:marTop w:val="0"/>
      <w:marBottom w:val="0"/>
      <w:divBdr>
        <w:top w:val="none" w:sz="0" w:space="0" w:color="auto"/>
        <w:left w:val="none" w:sz="0" w:space="0" w:color="auto"/>
        <w:bottom w:val="none" w:sz="0" w:space="0" w:color="auto"/>
        <w:right w:val="none" w:sz="0" w:space="0" w:color="auto"/>
      </w:divBdr>
    </w:div>
    <w:div w:id="449713498">
      <w:bodyDiv w:val="1"/>
      <w:marLeft w:val="0"/>
      <w:marRight w:val="0"/>
      <w:marTop w:val="0"/>
      <w:marBottom w:val="0"/>
      <w:divBdr>
        <w:top w:val="none" w:sz="0" w:space="0" w:color="auto"/>
        <w:left w:val="none" w:sz="0" w:space="0" w:color="auto"/>
        <w:bottom w:val="none" w:sz="0" w:space="0" w:color="auto"/>
        <w:right w:val="none" w:sz="0" w:space="0" w:color="auto"/>
      </w:divBdr>
    </w:div>
    <w:div w:id="507868100">
      <w:bodyDiv w:val="1"/>
      <w:marLeft w:val="0"/>
      <w:marRight w:val="0"/>
      <w:marTop w:val="0"/>
      <w:marBottom w:val="0"/>
      <w:divBdr>
        <w:top w:val="none" w:sz="0" w:space="0" w:color="auto"/>
        <w:left w:val="none" w:sz="0" w:space="0" w:color="auto"/>
        <w:bottom w:val="none" w:sz="0" w:space="0" w:color="auto"/>
        <w:right w:val="none" w:sz="0" w:space="0" w:color="auto"/>
      </w:divBdr>
    </w:div>
    <w:div w:id="564147026">
      <w:bodyDiv w:val="1"/>
      <w:marLeft w:val="0"/>
      <w:marRight w:val="0"/>
      <w:marTop w:val="0"/>
      <w:marBottom w:val="0"/>
      <w:divBdr>
        <w:top w:val="none" w:sz="0" w:space="0" w:color="auto"/>
        <w:left w:val="none" w:sz="0" w:space="0" w:color="auto"/>
        <w:bottom w:val="none" w:sz="0" w:space="0" w:color="auto"/>
        <w:right w:val="none" w:sz="0" w:space="0" w:color="auto"/>
      </w:divBdr>
    </w:div>
    <w:div w:id="573903593">
      <w:bodyDiv w:val="1"/>
      <w:marLeft w:val="0"/>
      <w:marRight w:val="0"/>
      <w:marTop w:val="0"/>
      <w:marBottom w:val="0"/>
      <w:divBdr>
        <w:top w:val="none" w:sz="0" w:space="0" w:color="auto"/>
        <w:left w:val="none" w:sz="0" w:space="0" w:color="auto"/>
        <w:bottom w:val="none" w:sz="0" w:space="0" w:color="auto"/>
        <w:right w:val="none" w:sz="0" w:space="0" w:color="auto"/>
      </w:divBdr>
    </w:div>
    <w:div w:id="698315957">
      <w:bodyDiv w:val="1"/>
      <w:marLeft w:val="0"/>
      <w:marRight w:val="0"/>
      <w:marTop w:val="0"/>
      <w:marBottom w:val="0"/>
      <w:divBdr>
        <w:top w:val="none" w:sz="0" w:space="0" w:color="auto"/>
        <w:left w:val="none" w:sz="0" w:space="0" w:color="auto"/>
        <w:bottom w:val="none" w:sz="0" w:space="0" w:color="auto"/>
        <w:right w:val="none" w:sz="0" w:space="0" w:color="auto"/>
      </w:divBdr>
    </w:div>
    <w:div w:id="738792597">
      <w:bodyDiv w:val="1"/>
      <w:marLeft w:val="0"/>
      <w:marRight w:val="0"/>
      <w:marTop w:val="0"/>
      <w:marBottom w:val="0"/>
      <w:divBdr>
        <w:top w:val="none" w:sz="0" w:space="0" w:color="auto"/>
        <w:left w:val="none" w:sz="0" w:space="0" w:color="auto"/>
        <w:bottom w:val="none" w:sz="0" w:space="0" w:color="auto"/>
        <w:right w:val="none" w:sz="0" w:space="0" w:color="auto"/>
      </w:divBdr>
    </w:div>
    <w:div w:id="1096630496">
      <w:bodyDiv w:val="1"/>
      <w:marLeft w:val="0"/>
      <w:marRight w:val="0"/>
      <w:marTop w:val="0"/>
      <w:marBottom w:val="0"/>
      <w:divBdr>
        <w:top w:val="none" w:sz="0" w:space="0" w:color="auto"/>
        <w:left w:val="none" w:sz="0" w:space="0" w:color="auto"/>
        <w:bottom w:val="none" w:sz="0" w:space="0" w:color="auto"/>
        <w:right w:val="none" w:sz="0" w:space="0" w:color="auto"/>
      </w:divBdr>
    </w:div>
    <w:div w:id="1140419440">
      <w:bodyDiv w:val="1"/>
      <w:marLeft w:val="0"/>
      <w:marRight w:val="0"/>
      <w:marTop w:val="0"/>
      <w:marBottom w:val="0"/>
      <w:divBdr>
        <w:top w:val="none" w:sz="0" w:space="0" w:color="auto"/>
        <w:left w:val="none" w:sz="0" w:space="0" w:color="auto"/>
        <w:bottom w:val="none" w:sz="0" w:space="0" w:color="auto"/>
        <w:right w:val="none" w:sz="0" w:space="0" w:color="auto"/>
      </w:divBdr>
    </w:div>
    <w:div w:id="1185248106">
      <w:bodyDiv w:val="1"/>
      <w:marLeft w:val="0"/>
      <w:marRight w:val="0"/>
      <w:marTop w:val="0"/>
      <w:marBottom w:val="0"/>
      <w:divBdr>
        <w:top w:val="none" w:sz="0" w:space="0" w:color="auto"/>
        <w:left w:val="none" w:sz="0" w:space="0" w:color="auto"/>
        <w:bottom w:val="none" w:sz="0" w:space="0" w:color="auto"/>
        <w:right w:val="none" w:sz="0" w:space="0" w:color="auto"/>
      </w:divBdr>
    </w:div>
    <w:div w:id="1215965035">
      <w:bodyDiv w:val="1"/>
      <w:marLeft w:val="0"/>
      <w:marRight w:val="0"/>
      <w:marTop w:val="0"/>
      <w:marBottom w:val="0"/>
      <w:divBdr>
        <w:top w:val="none" w:sz="0" w:space="0" w:color="auto"/>
        <w:left w:val="none" w:sz="0" w:space="0" w:color="auto"/>
        <w:bottom w:val="none" w:sz="0" w:space="0" w:color="auto"/>
        <w:right w:val="none" w:sz="0" w:space="0" w:color="auto"/>
      </w:divBdr>
    </w:div>
    <w:div w:id="1296715635">
      <w:bodyDiv w:val="1"/>
      <w:marLeft w:val="0"/>
      <w:marRight w:val="0"/>
      <w:marTop w:val="0"/>
      <w:marBottom w:val="0"/>
      <w:divBdr>
        <w:top w:val="none" w:sz="0" w:space="0" w:color="auto"/>
        <w:left w:val="none" w:sz="0" w:space="0" w:color="auto"/>
        <w:bottom w:val="none" w:sz="0" w:space="0" w:color="auto"/>
        <w:right w:val="none" w:sz="0" w:space="0" w:color="auto"/>
      </w:divBdr>
    </w:div>
    <w:div w:id="1365250264">
      <w:bodyDiv w:val="1"/>
      <w:marLeft w:val="0"/>
      <w:marRight w:val="0"/>
      <w:marTop w:val="0"/>
      <w:marBottom w:val="0"/>
      <w:divBdr>
        <w:top w:val="none" w:sz="0" w:space="0" w:color="auto"/>
        <w:left w:val="none" w:sz="0" w:space="0" w:color="auto"/>
        <w:bottom w:val="none" w:sz="0" w:space="0" w:color="auto"/>
        <w:right w:val="none" w:sz="0" w:space="0" w:color="auto"/>
      </w:divBdr>
    </w:div>
    <w:div w:id="1754811413">
      <w:bodyDiv w:val="1"/>
      <w:marLeft w:val="0"/>
      <w:marRight w:val="0"/>
      <w:marTop w:val="0"/>
      <w:marBottom w:val="0"/>
      <w:divBdr>
        <w:top w:val="none" w:sz="0" w:space="0" w:color="auto"/>
        <w:left w:val="none" w:sz="0" w:space="0" w:color="auto"/>
        <w:bottom w:val="none" w:sz="0" w:space="0" w:color="auto"/>
        <w:right w:val="none" w:sz="0" w:space="0" w:color="auto"/>
      </w:divBdr>
    </w:div>
    <w:div w:id="1829130273">
      <w:bodyDiv w:val="1"/>
      <w:marLeft w:val="0"/>
      <w:marRight w:val="0"/>
      <w:marTop w:val="0"/>
      <w:marBottom w:val="0"/>
      <w:divBdr>
        <w:top w:val="none" w:sz="0" w:space="0" w:color="auto"/>
        <w:left w:val="none" w:sz="0" w:space="0" w:color="auto"/>
        <w:bottom w:val="none" w:sz="0" w:space="0" w:color="auto"/>
        <w:right w:val="none" w:sz="0" w:space="0" w:color="auto"/>
      </w:divBdr>
    </w:div>
    <w:div w:id="1902015754">
      <w:bodyDiv w:val="1"/>
      <w:marLeft w:val="0"/>
      <w:marRight w:val="0"/>
      <w:marTop w:val="0"/>
      <w:marBottom w:val="0"/>
      <w:divBdr>
        <w:top w:val="none" w:sz="0" w:space="0" w:color="auto"/>
        <w:left w:val="none" w:sz="0" w:space="0" w:color="auto"/>
        <w:bottom w:val="none" w:sz="0" w:space="0" w:color="auto"/>
        <w:right w:val="none" w:sz="0" w:space="0" w:color="auto"/>
      </w:divBdr>
    </w:div>
    <w:div w:id="1976373013">
      <w:bodyDiv w:val="1"/>
      <w:marLeft w:val="0"/>
      <w:marRight w:val="0"/>
      <w:marTop w:val="0"/>
      <w:marBottom w:val="0"/>
      <w:divBdr>
        <w:top w:val="none" w:sz="0" w:space="0" w:color="auto"/>
        <w:left w:val="none" w:sz="0" w:space="0" w:color="auto"/>
        <w:bottom w:val="none" w:sz="0" w:space="0" w:color="auto"/>
        <w:right w:val="none" w:sz="0" w:space="0" w:color="auto"/>
      </w:divBdr>
    </w:div>
    <w:div w:id="20393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7F98-D45B-4117-BD70-D882F6E3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1362</Words>
  <Characters>7767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Saxton</dc:creator>
  <cp:lastModifiedBy>Gabriella Wright</cp:lastModifiedBy>
  <cp:revision>2</cp:revision>
  <cp:lastPrinted>2021-11-05T08:55:00Z</cp:lastPrinted>
  <dcterms:created xsi:type="dcterms:W3CDTF">2022-01-24T08:57:00Z</dcterms:created>
  <dcterms:modified xsi:type="dcterms:W3CDTF">2022-01-24T08:57:00Z</dcterms:modified>
</cp:coreProperties>
</file>