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9012"/>
        <w:gridCol w:w="14"/>
      </w:tblGrid>
      <w:tr w:rsidR="00123F7E" w:rsidRPr="0037396B" w14:paraId="507A6302" w14:textId="77777777" w:rsidTr="31DAEAF0">
        <w:trPr>
          <w:gridAfter w:val="1"/>
          <w:wAfter w:w="14" w:type="dxa"/>
          <w:trHeight w:val="1674"/>
          <w:jc w:val="center"/>
        </w:trPr>
        <w:tc>
          <w:tcPr>
            <w:tcW w:w="9228" w:type="dxa"/>
            <w:shd w:val="clear" w:color="auto" w:fill="auto"/>
          </w:tcPr>
          <w:p w14:paraId="65BF2A16" w14:textId="77777777" w:rsidR="00123F7E" w:rsidRPr="0037396B" w:rsidRDefault="002468D7" w:rsidP="001A300C">
            <w:pPr>
              <w:tabs>
                <w:tab w:val="left" w:pos="426"/>
              </w:tabs>
              <w:ind w:left="284" w:hanging="426"/>
              <w:jc w:val="center"/>
              <w:rPr>
                <w:rFonts w:ascii="Arial Black" w:hAnsi="Arial Black"/>
                <w:sz w:val="24"/>
                <w:szCs w:val="24"/>
              </w:rPr>
            </w:pPr>
            <w:bookmarkStart w:id="0" w:name="_GoBack"/>
            <w:bookmarkEnd w:id="0"/>
            <w:r>
              <w:rPr>
                <w:rFonts w:ascii="Arial Black" w:hAnsi="Arial Black"/>
                <w:sz w:val="24"/>
                <w:szCs w:val="24"/>
              </w:rPr>
              <w:t>Briefing Paper</w:t>
            </w:r>
          </w:p>
          <w:p w14:paraId="1F751244" w14:textId="77777777" w:rsidR="00123F7E" w:rsidRPr="0037396B" w:rsidRDefault="00123F7E" w:rsidP="001A300C">
            <w:pPr>
              <w:tabs>
                <w:tab w:val="left" w:pos="426"/>
              </w:tabs>
              <w:ind w:left="284" w:hanging="426"/>
              <w:jc w:val="center"/>
              <w:rPr>
                <w:rFonts w:ascii="Arial Black" w:hAnsi="Arial Black"/>
                <w:sz w:val="24"/>
                <w:szCs w:val="24"/>
              </w:rPr>
            </w:pPr>
            <w:r w:rsidRPr="0037396B">
              <w:rPr>
                <w:rFonts w:ascii="Arial Black" w:hAnsi="Arial Black"/>
                <w:sz w:val="24"/>
                <w:szCs w:val="24"/>
              </w:rPr>
              <w:t>to</w:t>
            </w:r>
          </w:p>
          <w:p w14:paraId="1D44804D" w14:textId="77777777" w:rsidR="00123F7E" w:rsidRPr="0037396B" w:rsidRDefault="00DE231A" w:rsidP="001A300C">
            <w:pPr>
              <w:tabs>
                <w:tab w:val="left" w:pos="426"/>
              </w:tabs>
              <w:ind w:left="284" w:hanging="426"/>
              <w:jc w:val="center"/>
              <w:rPr>
                <w:rFonts w:ascii="Arial Black" w:hAnsi="Arial Black"/>
                <w:sz w:val="24"/>
                <w:szCs w:val="24"/>
              </w:rPr>
            </w:pPr>
            <w:r>
              <w:rPr>
                <w:rFonts w:ascii="Arial Black" w:hAnsi="Arial Black"/>
                <w:sz w:val="24"/>
                <w:szCs w:val="24"/>
              </w:rPr>
              <w:t>Overview &amp; Scrutiny Committee</w:t>
            </w:r>
            <w:r w:rsidR="00123F7E" w:rsidRPr="0037396B">
              <w:rPr>
                <w:rFonts w:ascii="Arial Black" w:hAnsi="Arial Black"/>
                <w:sz w:val="24"/>
                <w:szCs w:val="24"/>
              </w:rPr>
              <w:t xml:space="preserve"> </w:t>
            </w:r>
            <w:r w:rsidR="00F730E5">
              <w:rPr>
                <w:rFonts w:ascii="Arial Black" w:hAnsi="Arial Black"/>
                <w:sz w:val="24"/>
                <w:szCs w:val="24"/>
              </w:rPr>
              <w:t>(</w:t>
            </w:r>
            <w:r w:rsidR="0075298F">
              <w:rPr>
                <w:rFonts w:ascii="Arial Black" w:hAnsi="Arial Black"/>
                <w:sz w:val="24"/>
                <w:szCs w:val="24"/>
              </w:rPr>
              <w:t>Place</w:t>
            </w:r>
            <w:r w:rsidR="00F730E5">
              <w:rPr>
                <w:rFonts w:ascii="Arial Black" w:hAnsi="Arial Black"/>
                <w:sz w:val="24"/>
                <w:szCs w:val="24"/>
              </w:rPr>
              <w:t>)</w:t>
            </w:r>
          </w:p>
          <w:p w14:paraId="2F2FA70D" w14:textId="77777777" w:rsidR="00123F7E" w:rsidRPr="0037396B" w:rsidRDefault="31DAEAF0" w:rsidP="001A300C">
            <w:pPr>
              <w:tabs>
                <w:tab w:val="left" w:pos="426"/>
              </w:tabs>
              <w:ind w:left="284" w:hanging="426"/>
              <w:jc w:val="center"/>
              <w:rPr>
                <w:rFonts w:ascii="Arial Black" w:hAnsi="Arial Black"/>
                <w:sz w:val="24"/>
                <w:szCs w:val="24"/>
              </w:rPr>
            </w:pPr>
            <w:r w:rsidRPr="31DAEAF0">
              <w:rPr>
                <w:rFonts w:ascii="Arial Black" w:hAnsi="Arial Black" w:cs="Arial"/>
                <w:sz w:val="24"/>
                <w:szCs w:val="24"/>
              </w:rPr>
              <w:t>on</w:t>
            </w:r>
          </w:p>
          <w:p w14:paraId="4C1352A9" w14:textId="055F190A" w:rsidR="00123F7E" w:rsidRPr="0037396B" w:rsidRDefault="00925FE8" w:rsidP="31DAEAF0">
            <w:pPr>
              <w:tabs>
                <w:tab w:val="left" w:pos="426"/>
              </w:tabs>
              <w:spacing w:line="259" w:lineRule="auto"/>
              <w:ind w:left="284" w:hanging="426"/>
              <w:jc w:val="center"/>
            </w:pPr>
            <w:r>
              <w:rPr>
                <w:rFonts w:ascii="Arial Black" w:hAnsi="Arial Black"/>
                <w:sz w:val="24"/>
                <w:szCs w:val="24"/>
              </w:rPr>
              <w:t>1</w:t>
            </w:r>
            <w:r w:rsidRPr="00925FE8">
              <w:rPr>
                <w:rFonts w:ascii="Arial Black" w:hAnsi="Arial Black"/>
                <w:sz w:val="24"/>
                <w:szCs w:val="24"/>
                <w:vertAlign w:val="superscript"/>
              </w:rPr>
              <w:t>st</w:t>
            </w:r>
            <w:r>
              <w:rPr>
                <w:rFonts w:ascii="Arial Black" w:hAnsi="Arial Black"/>
                <w:sz w:val="24"/>
                <w:szCs w:val="24"/>
              </w:rPr>
              <w:t xml:space="preserve"> February 2022</w:t>
            </w:r>
          </w:p>
        </w:tc>
      </w:tr>
      <w:tr w:rsidR="00123F7E" w:rsidRPr="0037396B" w14:paraId="672A6659" w14:textId="77777777" w:rsidTr="31DAEAF0">
        <w:trPr>
          <w:gridAfter w:val="1"/>
          <w:wAfter w:w="14" w:type="dxa"/>
          <w:jc w:val="center"/>
        </w:trPr>
        <w:tc>
          <w:tcPr>
            <w:tcW w:w="9228" w:type="dxa"/>
            <w:shd w:val="clear" w:color="auto" w:fill="auto"/>
          </w:tcPr>
          <w:p w14:paraId="0A37501D" w14:textId="77777777" w:rsidR="00123F7E" w:rsidRPr="0037396B" w:rsidRDefault="00123F7E" w:rsidP="001A300C">
            <w:pPr>
              <w:tabs>
                <w:tab w:val="left" w:pos="426"/>
              </w:tabs>
              <w:ind w:left="284" w:hanging="426"/>
              <w:jc w:val="center"/>
              <w:rPr>
                <w:rFonts w:ascii="Arial Black" w:hAnsi="Arial Black"/>
                <w:sz w:val="24"/>
                <w:szCs w:val="24"/>
              </w:rPr>
            </w:pPr>
          </w:p>
        </w:tc>
      </w:tr>
      <w:tr w:rsidR="00123F7E" w:rsidRPr="0037396B" w14:paraId="6903E778" w14:textId="77777777" w:rsidTr="31DAEAF0">
        <w:trPr>
          <w:jc w:val="center"/>
        </w:trPr>
        <w:tc>
          <w:tcPr>
            <w:tcW w:w="9242" w:type="dxa"/>
            <w:gridSpan w:val="2"/>
            <w:tcBorders>
              <w:top w:val="single" w:sz="24" w:space="0" w:color="auto"/>
              <w:bottom w:val="single" w:sz="24" w:space="0" w:color="auto"/>
            </w:tcBorders>
            <w:shd w:val="clear" w:color="auto" w:fill="auto"/>
          </w:tcPr>
          <w:p w14:paraId="0F7289CB" w14:textId="7BA8A4B7" w:rsidR="00123F7E" w:rsidRPr="0037396B" w:rsidRDefault="008C308F" w:rsidP="009E510A">
            <w:pPr>
              <w:tabs>
                <w:tab w:val="left" w:pos="426"/>
              </w:tabs>
              <w:spacing w:before="240" w:after="240"/>
              <w:ind w:left="284" w:hanging="426"/>
              <w:jc w:val="center"/>
              <w:rPr>
                <w:rFonts w:cs="Arial"/>
                <w:b/>
                <w:sz w:val="24"/>
                <w:szCs w:val="24"/>
              </w:rPr>
            </w:pPr>
            <w:r>
              <w:rPr>
                <w:rFonts w:cs="Arial"/>
                <w:b/>
                <w:sz w:val="24"/>
                <w:szCs w:val="24"/>
              </w:rPr>
              <w:t xml:space="preserve">Draft Town Centre Masterplan </w:t>
            </w:r>
          </w:p>
        </w:tc>
      </w:tr>
    </w:tbl>
    <w:p w14:paraId="5DAB6C7B" w14:textId="77777777" w:rsidR="001475B9" w:rsidRPr="0037396B" w:rsidRDefault="001475B9" w:rsidP="00734F73">
      <w:pPr>
        <w:tabs>
          <w:tab w:val="left" w:pos="426"/>
        </w:tabs>
        <w:ind w:left="567" w:hanging="567"/>
        <w:jc w:val="left"/>
        <w:rPr>
          <w:sz w:val="24"/>
          <w:szCs w:val="24"/>
        </w:rPr>
      </w:pPr>
    </w:p>
    <w:p w14:paraId="0C8E12AC" w14:textId="77777777" w:rsidR="001475B9" w:rsidRPr="0037396B" w:rsidRDefault="002E2DD8" w:rsidP="00734F73">
      <w:pPr>
        <w:ind w:left="567" w:hanging="567"/>
        <w:jc w:val="left"/>
        <w:rPr>
          <w:b/>
          <w:sz w:val="24"/>
          <w:szCs w:val="24"/>
        </w:rPr>
      </w:pPr>
      <w:r>
        <w:rPr>
          <w:b/>
          <w:sz w:val="24"/>
          <w:szCs w:val="24"/>
        </w:rPr>
        <w:t xml:space="preserve">1. </w:t>
      </w:r>
      <w:r w:rsidR="00A33C0F">
        <w:rPr>
          <w:b/>
          <w:sz w:val="24"/>
          <w:szCs w:val="24"/>
        </w:rPr>
        <w:tab/>
      </w:r>
      <w:r>
        <w:rPr>
          <w:b/>
          <w:sz w:val="24"/>
          <w:szCs w:val="24"/>
        </w:rPr>
        <w:t>SUMMARY</w:t>
      </w:r>
    </w:p>
    <w:p w14:paraId="02EB378F" w14:textId="77777777" w:rsidR="0037396B" w:rsidRPr="0037396B" w:rsidRDefault="0037396B" w:rsidP="00734F73">
      <w:pPr>
        <w:tabs>
          <w:tab w:val="left" w:pos="426"/>
        </w:tabs>
        <w:ind w:left="567" w:hanging="567"/>
        <w:jc w:val="left"/>
        <w:rPr>
          <w:b/>
          <w:sz w:val="24"/>
          <w:szCs w:val="24"/>
        </w:rPr>
      </w:pPr>
    </w:p>
    <w:p w14:paraId="44FF7A1E" w14:textId="5BFA2DFB" w:rsidR="00D90807" w:rsidRDefault="31DAEAF0" w:rsidP="31DAEAF0">
      <w:pPr>
        <w:ind w:left="567" w:hanging="567"/>
        <w:jc w:val="left"/>
        <w:rPr>
          <w:sz w:val="24"/>
          <w:szCs w:val="24"/>
        </w:rPr>
      </w:pPr>
      <w:r w:rsidRPr="31DAEAF0">
        <w:rPr>
          <w:sz w:val="24"/>
          <w:szCs w:val="24"/>
        </w:rPr>
        <w:t>1.1</w:t>
      </w:r>
      <w:r w:rsidR="00D90807">
        <w:tab/>
      </w:r>
      <w:r w:rsidRPr="31DAEAF0">
        <w:rPr>
          <w:rFonts w:eastAsia="Arial" w:cs="Arial"/>
          <w:color w:val="000000" w:themeColor="text1"/>
          <w:sz w:val="24"/>
          <w:szCs w:val="24"/>
        </w:rPr>
        <w:t>This briefing paper presents the Overview &amp; Scrutiny Committee (Place) with the Co</w:t>
      </w:r>
      <w:r w:rsidR="008C308F">
        <w:rPr>
          <w:rFonts w:eastAsia="Arial" w:cs="Arial"/>
          <w:color w:val="000000" w:themeColor="text1"/>
          <w:sz w:val="24"/>
          <w:szCs w:val="24"/>
        </w:rPr>
        <w:t xml:space="preserve">uncil’s draft Mansfield Town Centre masterplan which is currently out for consultation and </w:t>
      </w:r>
      <w:r w:rsidR="008C308F" w:rsidRPr="31DAEAF0">
        <w:rPr>
          <w:rFonts w:eastAsia="Arial" w:cs="Arial"/>
          <w:color w:val="000000" w:themeColor="text1"/>
          <w:sz w:val="24"/>
          <w:szCs w:val="24"/>
        </w:rPr>
        <w:t>requests</w:t>
      </w:r>
      <w:r w:rsidRPr="31DAEAF0">
        <w:rPr>
          <w:rFonts w:eastAsia="Arial" w:cs="Arial"/>
          <w:color w:val="000000" w:themeColor="text1"/>
          <w:sz w:val="24"/>
          <w:szCs w:val="24"/>
        </w:rPr>
        <w:t xml:space="preserve"> the collective comments </w:t>
      </w:r>
      <w:r w:rsidR="00773AEF">
        <w:rPr>
          <w:rFonts w:eastAsia="Arial" w:cs="Arial"/>
          <w:color w:val="000000" w:themeColor="text1"/>
          <w:sz w:val="24"/>
          <w:szCs w:val="24"/>
        </w:rPr>
        <w:t xml:space="preserve">of OSC Place </w:t>
      </w:r>
      <w:r w:rsidRPr="31DAEAF0">
        <w:rPr>
          <w:rFonts w:eastAsia="Arial" w:cs="Arial"/>
          <w:color w:val="000000" w:themeColor="text1"/>
          <w:sz w:val="24"/>
          <w:szCs w:val="24"/>
        </w:rPr>
        <w:t xml:space="preserve">to inform </w:t>
      </w:r>
      <w:r w:rsidR="008C308F">
        <w:rPr>
          <w:rFonts w:eastAsia="Arial" w:cs="Arial"/>
          <w:color w:val="000000" w:themeColor="text1"/>
          <w:sz w:val="24"/>
          <w:szCs w:val="24"/>
        </w:rPr>
        <w:t>the consultation.</w:t>
      </w:r>
    </w:p>
    <w:p w14:paraId="1F21D037" w14:textId="4E8A6C87" w:rsidR="00D90807" w:rsidRDefault="00D90807" w:rsidP="31DAEAF0">
      <w:pPr>
        <w:ind w:left="567" w:hanging="567"/>
        <w:jc w:val="left"/>
        <w:rPr>
          <w:color w:val="000000" w:themeColor="text1"/>
        </w:rPr>
      </w:pPr>
    </w:p>
    <w:p w14:paraId="6A05A809" w14:textId="74901E9F" w:rsidR="00D90807" w:rsidRDefault="00D90807" w:rsidP="31DAEAF0">
      <w:pPr>
        <w:jc w:val="left"/>
      </w:pPr>
    </w:p>
    <w:p w14:paraId="7A565490" w14:textId="09119158" w:rsidR="31DAEAF0" w:rsidRDefault="31DAEAF0" w:rsidP="31DAEAF0">
      <w:pPr>
        <w:ind w:left="567" w:hanging="567"/>
        <w:jc w:val="left"/>
      </w:pPr>
      <w:r w:rsidRPr="31DAEAF0">
        <w:rPr>
          <w:rFonts w:eastAsia="Arial" w:cs="Arial"/>
          <w:b/>
          <w:bCs/>
          <w:color w:val="000000" w:themeColor="text1"/>
          <w:sz w:val="24"/>
          <w:szCs w:val="24"/>
        </w:rPr>
        <w:t xml:space="preserve">2. </w:t>
      </w:r>
      <w:r>
        <w:tab/>
      </w:r>
      <w:r w:rsidRPr="31DAEAF0">
        <w:rPr>
          <w:rFonts w:eastAsia="Arial" w:cs="Arial"/>
          <w:b/>
          <w:bCs/>
          <w:color w:val="000000" w:themeColor="text1"/>
          <w:sz w:val="24"/>
          <w:szCs w:val="24"/>
        </w:rPr>
        <w:t>RECOMMENDATION</w:t>
      </w:r>
      <w:r>
        <w:br/>
      </w:r>
    </w:p>
    <w:p w14:paraId="4429B52F" w14:textId="1437AF35" w:rsidR="31DAEAF0" w:rsidRDefault="31DAEAF0" w:rsidP="31DAEAF0">
      <w:pPr>
        <w:spacing w:line="259" w:lineRule="auto"/>
        <w:ind w:left="567" w:hanging="567"/>
        <w:jc w:val="left"/>
      </w:pPr>
      <w:r w:rsidRPr="31DAEAF0">
        <w:rPr>
          <w:rFonts w:eastAsia="Arial" w:cs="Arial"/>
          <w:color w:val="000000" w:themeColor="text1"/>
          <w:sz w:val="24"/>
          <w:szCs w:val="24"/>
        </w:rPr>
        <w:t>2.1</w:t>
      </w:r>
      <w:r>
        <w:tab/>
      </w:r>
      <w:r w:rsidRPr="31DAEAF0">
        <w:rPr>
          <w:rFonts w:eastAsia="Arial" w:cs="Arial"/>
          <w:color w:val="000000" w:themeColor="text1"/>
          <w:sz w:val="24"/>
          <w:szCs w:val="24"/>
        </w:rPr>
        <w:t xml:space="preserve">The Overview </w:t>
      </w:r>
      <w:r w:rsidR="00773AEF">
        <w:rPr>
          <w:rFonts w:eastAsia="Arial" w:cs="Arial"/>
          <w:color w:val="000000" w:themeColor="text1"/>
          <w:sz w:val="24"/>
          <w:szCs w:val="24"/>
        </w:rPr>
        <w:t xml:space="preserve">&amp; Scrutiny Committee (Place) is requested to review the </w:t>
      </w:r>
      <w:r w:rsidRPr="31DAEAF0">
        <w:rPr>
          <w:rFonts w:eastAsia="Arial" w:cs="Arial"/>
          <w:color w:val="000000" w:themeColor="text1"/>
          <w:sz w:val="24"/>
          <w:szCs w:val="24"/>
        </w:rPr>
        <w:t xml:space="preserve"> </w:t>
      </w:r>
      <w:r w:rsidR="00773AEF">
        <w:rPr>
          <w:rFonts w:eastAsia="Arial" w:cs="Arial"/>
          <w:color w:val="000000" w:themeColor="text1"/>
          <w:sz w:val="24"/>
          <w:szCs w:val="24"/>
        </w:rPr>
        <w:t>Draft Town Centre Master plan at Appendix 1</w:t>
      </w:r>
      <w:r w:rsidRPr="31DAEAF0">
        <w:rPr>
          <w:rFonts w:eastAsia="Arial" w:cs="Arial"/>
          <w:color w:val="000000" w:themeColor="text1"/>
          <w:sz w:val="24"/>
          <w:szCs w:val="24"/>
        </w:rPr>
        <w:t xml:space="preserve"> and </w:t>
      </w:r>
      <w:r w:rsidR="00773AEF">
        <w:rPr>
          <w:rFonts w:eastAsia="Arial" w:cs="Arial"/>
          <w:color w:val="000000" w:themeColor="text1"/>
          <w:sz w:val="24"/>
          <w:szCs w:val="24"/>
        </w:rPr>
        <w:t>provide comments, if appropriate, to be considered as part of the consultation comments</w:t>
      </w:r>
      <w:r w:rsidRPr="31DAEAF0">
        <w:rPr>
          <w:rFonts w:eastAsia="Arial" w:cs="Arial"/>
          <w:color w:val="000000" w:themeColor="text1"/>
          <w:sz w:val="24"/>
          <w:szCs w:val="24"/>
        </w:rPr>
        <w:t>.</w:t>
      </w:r>
    </w:p>
    <w:p w14:paraId="35C9E622" w14:textId="4273BD80" w:rsidR="31DAEAF0" w:rsidRDefault="31DAEAF0" w:rsidP="31DAEAF0">
      <w:pPr>
        <w:jc w:val="left"/>
      </w:pPr>
      <w:r>
        <w:br/>
      </w:r>
    </w:p>
    <w:p w14:paraId="48024063" w14:textId="487E7FF6" w:rsidR="31DAEAF0" w:rsidRDefault="31DAEAF0" w:rsidP="31DAEAF0">
      <w:pPr>
        <w:spacing w:line="259" w:lineRule="auto"/>
        <w:ind w:left="567" w:hanging="567"/>
        <w:jc w:val="left"/>
        <w:rPr>
          <w:rFonts w:eastAsia="Arial" w:cs="Arial"/>
          <w:b/>
          <w:bCs/>
          <w:color w:val="000000" w:themeColor="text1"/>
          <w:sz w:val="24"/>
          <w:szCs w:val="24"/>
        </w:rPr>
      </w:pPr>
      <w:r w:rsidRPr="31DAEAF0">
        <w:rPr>
          <w:rFonts w:eastAsia="Arial" w:cs="Arial"/>
          <w:b/>
          <w:bCs/>
          <w:color w:val="000000" w:themeColor="text1"/>
          <w:sz w:val="24"/>
          <w:szCs w:val="24"/>
        </w:rPr>
        <w:t>3.</w:t>
      </w:r>
      <w:r>
        <w:tab/>
      </w:r>
      <w:r w:rsidRPr="31DAEAF0">
        <w:rPr>
          <w:rFonts w:eastAsia="Arial" w:cs="Arial"/>
          <w:b/>
          <w:bCs/>
          <w:color w:val="000000" w:themeColor="text1"/>
          <w:sz w:val="24"/>
          <w:szCs w:val="24"/>
        </w:rPr>
        <w:t>BACKGROUND</w:t>
      </w:r>
    </w:p>
    <w:p w14:paraId="21097276" w14:textId="0ED9ACC0" w:rsidR="31DAEAF0" w:rsidRDefault="31DAEAF0" w:rsidP="31DAEAF0">
      <w:pPr>
        <w:ind w:left="567" w:hanging="567"/>
        <w:jc w:val="left"/>
        <w:rPr>
          <w:b/>
          <w:bCs/>
          <w:color w:val="000000" w:themeColor="text1"/>
        </w:rPr>
      </w:pPr>
    </w:p>
    <w:p w14:paraId="12BBA823" w14:textId="17BDC61F" w:rsidR="31DAEAF0" w:rsidRPr="00EE0564" w:rsidRDefault="31DAEAF0" w:rsidP="31DAEAF0">
      <w:pPr>
        <w:ind w:left="567" w:hanging="567"/>
        <w:jc w:val="left"/>
        <w:rPr>
          <w:sz w:val="24"/>
          <w:szCs w:val="24"/>
        </w:rPr>
      </w:pPr>
      <w:r w:rsidRPr="002723E9">
        <w:rPr>
          <w:rFonts w:eastAsia="Arial" w:cs="Arial"/>
          <w:bCs/>
          <w:color w:val="000000" w:themeColor="text1"/>
          <w:sz w:val="24"/>
          <w:szCs w:val="24"/>
        </w:rPr>
        <w:t>3.1</w:t>
      </w:r>
      <w:r>
        <w:tab/>
      </w:r>
      <w:r w:rsidR="008C308F">
        <w:rPr>
          <w:rFonts w:eastAsia="Arial" w:cs="Arial"/>
          <w:color w:val="000000" w:themeColor="text1"/>
          <w:sz w:val="24"/>
          <w:szCs w:val="24"/>
        </w:rPr>
        <w:t xml:space="preserve">The draft Town Centre Masterplan was </w:t>
      </w:r>
      <w:r w:rsidR="00EE0564">
        <w:rPr>
          <w:rFonts w:eastAsia="Arial" w:cs="Arial"/>
          <w:color w:val="000000" w:themeColor="text1"/>
          <w:sz w:val="24"/>
          <w:szCs w:val="24"/>
        </w:rPr>
        <w:t>highlighted to</w:t>
      </w:r>
      <w:r w:rsidR="008C308F">
        <w:rPr>
          <w:rFonts w:eastAsia="Arial" w:cs="Arial"/>
          <w:color w:val="000000" w:themeColor="text1"/>
          <w:sz w:val="24"/>
          <w:szCs w:val="24"/>
        </w:rPr>
        <w:t xml:space="preserve"> OSC Place on the 28 September 2021 for a period of public consultation. The public consultation is </w:t>
      </w:r>
      <w:r w:rsidR="008C308F" w:rsidRPr="00EE0564">
        <w:rPr>
          <w:rFonts w:eastAsia="Arial" w:cs="Arial"/>
          <w:color w:val="000000" w:themeColor="text1"/>
          <w:sz w:val="24"/>
          <w:szCs w:val="24"/>
        </w:rPr>
        <w:t xml:space="preserve">currently underway </w:t>
      </w:r>
      <w:r w:rsidR="00773AEF" w:rsidRPr="00EE0564">
        <w:rPr>
          <w:rFonts w:eastAsia="Arial" w:cs="Arial"/>
          <w:color w:val="000000" w:themeColor="text1"/>
          <w:sz w:val="24"/>
          <w:szCs w:val="24"/>
        </w:rPr>
        <w:t xml:space="preserve">having </w:t>
      </w:r>
      <w:r w:rsidR="008C308F" w:rsidRPr="00EE0564">
        <w:rPr>
          <w:rFonts w:eastAsia="Arial" w:cs="Arial"/>
          <w:color w:val="000000" w:themeColor="text1"/>
          <w:sz w:val="24"/>
          <w:szCs w:val="24"/>
        </w:rPr>
        <w:t>start</w:t>
      </w:r>
      <w:r w:rsidR="00773AEF" w:rsidRPr="00EE0564">
        <w:rPr>
          <w:rFonts w:eastAsia="Arial" w:cs="Arial"/>
          <w:color w:val="000000" w:themeColor="text1"/>
          <w:sz w:val="24"/>
          <w:szCs w:val="24"/>
        </w:rPr>
        <w:t>ed</w:t>
      </w:r>
      <w:r w:rsidR="008C308F" w:rsidRPr="00EE0564">
        <w:rPr>
          <w:rFonts w:eastAsia="Arial" w:cs="Arial"/>
          <w:color w:val="000000" w:themeColor="text1"/>
          <w:sz w:val="24"/>
          <w:szCs w:val="24"/>
        </w:rPr>
        <w:t xml:space="preserve"> on the 18 October and ending on 23</w:t>
      </w:r>
      <w:r w:rsidR="008C308F" w:rsidRPr="00EE0564">
        <w:rPr>
          <w:rFonts w:eastAsia="Arial" w:cs="Arial"/>
          <w:color w:val="000000" w:themeColor="text1"/>
          <w:sz w:val="24"/>
          <w:szCs w:val="24"/>
          <w:vertAlign w:val="superscript"/>
        </w:rPr>
        <w:t xml:space="preserve"> </w:t>
      </w:r>
      <w:r w:rsidR="008C308F" w:rsidRPr="00EE0564">
        <w:rPr>
          <w:sz w:val="24"/>
          <w:szCs w:val="24"/>
        </w:rPr>
        <w:t>December 2021.</w:t>
      </w:r>
    </w:p>
    <w:p w14:paraId="1BFA5854" w14:textId="26A71F3D" w:rsidR="31DAEAF0" w:rsidRPr="00EE0564" w:rsidRDefault="31DAEAF0" w:rsidP="31DAEAF0">
      <w:pPr>
        <w:ind w:left="567" w:hanging="567"/>
        <w:jc w:val="left"/>
        <w:rPr>
          <w:rFonts w:eastAsia="Arial" w:cs="Arial"/>
          <w:color w:val="000000" w:themeColor="text1"/>
          <w:sz w:val="24"/>
          <w:szCs w:val="24"/>
        </w:rPr>
      </w:pPr>
    </w:p>
    <w:p w14:paraId="1EA36DF5" w14:textId="77777777" w:rsidR="002723E9" w:rsidRDefault="31DAEAF0" w:rsidP="002723E9">
      <w:pPr>
        <w:ind w:left="567" w:hanging="567"/>
        <w:jc w:val="left"/>
        <w:rPr>
          <w:rFonts w:eastAsia="Arial" w:cs="Arial"/>
          <w:color w:val="000000" w:themeColor="text1"/>
          <w:sz w:val="24"/>
          <w:szCs w:val="24"/>
        </w:rPr>
      </w:pPr>
      <w:r w:rsidRPr="002723E9">
        <w:rPr>
          <w:rFonts w:eastAsia="Arial" w:cs="Arial"/>
          <w:bCs/>
          <w:color w:val="000000" w:themeColor="text1"/>
          <w:sz w:val="24"/>
          <w:szCs w:val="24"/>
        </w:rPr>
        <w:t>3.2</w:t>
      </w:r>
      <w:r>
        <w:tab/>
      </w:r>
      <w:r w:rsidR="008C308F">
        <w:rPr>
          <w:rFonts w:eastAsia="Arial" w:cs="Arial"/>
          <w:color w:val="000000" w:themeColor="text1"/>
          <w:sz w:val="24"/>
          <w:szCs w:val="24"/>
        </w:rPr>
        <w:t>The next stage</w:t>
      </w:r>
      <w:r w:rsidR="00773AEF">
        <w:rPr>
          <w:rFonts w:eastAsia="Arial" w:cs="Arial"/>
          <w:color w:val="000000" w:themeColor="text1"/>
          <w:sz w:val="24"/>
          <w:szCs w:val="24"/>
        </w:rPr>
        <w:t xml:space="preserve"> will be to</w:t>
      </w:r>
      <w:r w:rsidR="008C308F">
        <w:rPr>
          <w:rFonts w:eastAsia="Arial" w:cs="Arial"/>
          <w:color w:val="000000" w:themeColor="text1"/>
          <w:sz w:val="24"/>
          <w:szCs w:val="24"/>
        </w:rPr>
        <w:t xml:space="preserve"> review all of the representations made to the consultation and make any necessary amendments to the docu</w:t>
      </w:r>
      <w:r w:rsidR="00773AEF">
        <w:rPr>
          <w:rFonts w:eastAsia="Arial" w:cs="Arial"/>
          <w:color w:val="000000" w:themeColor="text1"/>
          <w:sz w:val="24"/>
          <w:szCs w:val="24"/>
        </w:rPr>
        <w:t>ment. T</w:t>
      </w:r>
      <w:r w:rsidR="008C308F">
        <w:rPr>
          <w:rFonts w:eastAsia="Arial" w:cs="Arial"/>
          <w:color w:val="000000" w:themeColor="text1"/>
          <w:sz w:val="24"/>
          <w:szCs w:val="24"/>
        </w:rPr>
        <w:t>hese will then be presented back to OSC Place</w:t>
      </w:r>
      <w:r w:rsidR="00773AEF">
        <w:rPr>
          <w:rFonts w:eastAsia="Arial" w:cs="Arial"/>
          <w:color w:val="000000" w:themeColor="text1"/>
          <w:sz w:val="24"/>
          <w:szCs w:val="24"/>
        </w:rPr>
        <w:t xml:space="preserve"> prior to a decision by the Portfolio Holder for </w:t>
      </w:r>
      <w:r w:rsidR="002723E9">
        <w:rPr>
          <w:rFonts w:eastAsia="Arial" w:cs="Arial"/>
          <w:color w:val="000000" w:themeColor="text1"/>
          <w:sz w:val="24"/>
          <w:szCs w:val="24"/>
        </w:rPr>
        <w:t>Regeneration.</w:t>
      </w:r>
    </w:p>
    <w:p w14:paraId="5E8949F6" w14:textId="77777777" w:rsidR="002723E9" w:rsidRDefault="002723E9" w:rsidP="002723E9">
      <w:pPr>
        <w:ind w:left="567" w:hanging="567"/>
        <w:jc w:val="left"/>
        <w:rPr>
          <w:rFonts w:eastAsia="Arial" w:cs="Arial"/>
          <w:color w:val="000000" w:themeColor="text1"/>
          <w:sz w:val="24"/>
          <w:szCs w:val="24"/>
        </w:rPr>
      </w:pPr>
    </w:p>
    <w:p w14:paraId="35A15AA4" w14:textId="1DEF8E3E" w:rsidR="002723E9" w:rsidRPr="002723E9" w:rsidRDefault="002723E9" w:rsidP="002723E9">
      <w:pPr>
        <w:ind w:left="567" w:hanging="567"/>
        <w:jc w:val="left"/>
        <w:rPr>
          <w:rFonts w:eastAsia="Arial" w:cs="Arial"/>
          <w:color w:val="000000" w:themeColor="text1"/>
          <w:sz w:val="24"/>
          <w:szCs w:val="24"/>
        </w:rPr>
      </w:pPr>
      <w:r>
        <w:rPr>
          <w:rFonts w:eastAsia="Arial" w:cs="Arial"/>
          <w:color w:val="000000" w:themeColor="text1"/>
          <w:sz w:val="24"/>
          <w:szCs w:val="24"/>
        </w:rPr>
        <w:t>3.3</w:t>
      </w:r>
      <w:r>
        <w:rPr>
          <w:rFonts w:eastAsia="Arial" w:cs="Arial"/>
          <w:color w:val="000000" w:themeColor="text1"/>
          <w:sz w:val="24"/>
          <w:szCs w:val="24"/>
        </w:rPr>
        <w:tab/>
      </w:r>
      <w:r w:rsidRPr="002723E9">
        <w:rPr>
          <w:rFonts w:cs="Arial"/>
          <w:sz w:val="24"/>
          <w:szCs w:val="24"/>
        </w:rPr>
        <w:t>The Mansfield District Local Plan 2013 – 2033 was adopted on the 8</w:t>
      </w:r>
      <w:r w:rsidRPr="002723E9">
        <w:rPr>
          <w:rFonts w:cs="Arial"/>
          <w:sz w:val="24"/>
          <w:szCs w:val="24"/>
          <w:vertAlign w:val="superscript"/>
        </w:rPr>
        <w:t>th</w:t>
      </w:r>
      <w:r w:rsidRPr="002723E9">
        <w:rPr>
          <w:rFonts w:cs="Arial"/>
          <w:sz w:val="24"/>
          <w:szCs w:val="24"/>
        </w:rPr>
        <w:t xml:space="preserve"> September 2020.  The document forms part of the statutory development plan for the district and will be used to guide development and inform decisions on planning applications.</w:t>
      </w:r>
    </w:p>
    <w:p w14:paraId="0A1F100F" w14:textId="77777777" w:rsidR="002723E9" w:rsidRPr="002723E9" w:rsidRDefault="002723E9" w:rsidP="002723E9">
      <w:pPr>
        <w:rPr>
          <w:rFonts w:cs="Arial"/>
          <w:sz w:val="24"/>
          <w:szCs w:val="24"/>
        </w:rPr>
      </w:pPr>
    </w:p>
    <w:p w14:paraId="64B7D80E" w14:textId="73B18FF8" w:rsidR="002723E9" w:rsidRPr="002723E9" w:rsidRDefault="002723E9" w:rsidP="002723E9">
      <w:pPr>
        <w:ind w:left="567" w:hanging="720"/>
        <w:rPr>
          <w:rFonts w:cs="Arial"/>
          <w:sz w:val="24"/>
          <w:szCs w:val="24"/>
        </w:rPr>
      </w:pPr>
      <w:r>
        <w:rPr>
          <w:rFonts w:cs="Arial"/>
          <w:sz w:val="24"/>
          <w:szCs w:val="24"/>
        </w:rPr>
        <w:t>3.4</w:t>
      </w:r>
      <w:r w:rsidRPr="002723E9">
        <w:rPr>
          <w:rFonts w:cs="Arial"/>
          <w:sz w:val="24"/>
          <w:szCs w:val="24"/>
        </w:rPr>
        <w:tab/>
        <w:t>The Local Plan requires the Council to prepare a masterplan to cover Mansfield town centre.  Consultants Allies &amp; Morrison in partnership with Cushman Wakefield (deliverability and viability specialists) and Urban Flow (transport specialists) were appointed to prepare the masterplan on behalf of MDC in June 2020.</w:t>
      </w:r>
    </w:p>
    <w:p w14:paraId="7BE86B4C" w14:textId="77777777" w:rsidR="002723E9" w:rsidRPr="002723E9" w:rsidRDefault="002723E9" w:rsidP="002723E9">
      <w:pPr>
        <w:rPr>
          <w:rFonts w:cs="Arial"/>
          <w:sz w:val="24"/>
          <w:szCs w:val="24"/>
        </w:rPr>
      </w:pPr>
    </w:p>
    <w:p w14:paraId="1E693720" w14:textId="2E40DAA0" w:rsidR="002723E9" w:rsidRDefault="002723E9" w:rsidP="002723E9">
      <w:pPr>
        <w:ind w:left="567" w:hanging="720"/>
        <w:rPr>
          <w:rFonts w:cs="Arial"/>
          <w:sz w:val="24"/>
          <w:szCs w:val="24"/>
        </w:rPr>
      </w:pPr>
      <w:r>
        <w:rPr>
          <w:rFonts w:cs="Arial"/>
          <w:sz w:val="24"/>
          <w:szCs w:val="24"/>
        </w:rPr>
        <w:t>3.4</w:t>
      </w:r>
      <w:r w:rsidRPr="002723E9">
        <w:rPr>
          <w:rFonts w:cs="Arial"/>
          <w:sz w:val="24"/>
          <w:szCs w:val="24"/>
        </w:rPr>
        <w:tab/>
        <w:t xml:space="preserve">An initial consultation on the masterplan vision and objectives was held in February 2021 which has fed into the overall content of the masterplan to ensure that the golden thread runs through the document. To support the preparation of the masterplan a number of workshops have been held with the relevant officers, Nottinghamshire County Council as the Highway Authority and the consultants. </w:t>
      </w:r>
    </w:p>
    <w:p w14:paraId="091000A6" w14:textId="77777777" w:rsidR="002723E9" w:rsidRPr="002723E9" w:rsidRDefault="002723E9" w:rsidP="002723E9">
      <w:pPr>
        <w:ind w:left="567" w:hanging="720"/>
        <w:rPr>
          <w:rFonts w:cs="Arial"/>
          <w:sz w:val="24"/>
          <w:szCs w:val="24"/>
        </w:rPr>
      </w:pPr>
    </w:p>
    <w:p w14:paraId="45748B7C" w14:textId="77777777" w:rsidR="002723E9" w:rsidRPr="002723E9" w:rsidRDefault="002723E9" w:rsidP="002723E9">
      <w:pPr>
        <w:rPr>
          <w:rFonts w:cs="Arial"/>
          <w:sz w:val="24"/>
          <w:szCs w:val="24"/>
        </w:rPr>
      </w:pPr>
    </w:p>
    <w:p w14:paraId="2317EB1E" w14:textId="77777777" w:rsidR="002723E9" w:rsidRPr="002723E9" w:rsidRDefault="002723E9" w:rsidP="002723E9">
      <w:pPr>
        <w:ind w:firstLine="720"/>
        <w:rPr>
          <w:rFonts w:cs="Arial"/>
          <w:sz w:val="24"/>
          <w:szCs w:val="24"/>
        </w:rPr>
      </w:pPr>
      <w:r w:rsidRPr="002723E9">
        <w:rPr>
          <w:rFonts w:cs="Arial"/>
          <w:sz w:val="24"/>
          <w:szCs w:val="24"/>
          <w:u w:val="single"/>
        </w:rPr>
        <w:lastRenderedPageBreak/>
        <w:t>Status of the masterplan</w:t>
      </w:r>
    </w:p>
    <w:p w14:paraId="67A393EB" w14:textId="77777777" w:rsidR="002723E9" w:rsidRPr="002723E9" w:rsidRDefault="002723E9" w:rsidP="002723E9">
      <w:pPr>
        <w:rPr>
          <w:rFonts w:cs="Arial"/>
          <w:sz w:val="24"/>
          <w:szCs w:val="24"/>
        </w:rPr>
      </w:pPr>
    </w:p>
    <w:p w14:paraId="096E9D27" w14:textId="1C911308" w:rsidR="002723E9" w:rsidRPr="002723E9" w:rsidRDefault="002723E9" w:rsidP="002723E9">
      <w:pPr>
        <w:ind w:left="567" w:hanging="720"/>
        <w:rPr>
          <w:rFonts w:cs="Arial"/>
          <w:sz w:val="24"/>
          <w:szCs w:val="24"/>
        </w:rPr>
      </w:pPr>
      <w:r>
        <w:rPr>
          <w:rFonts w:cs="Arial"/>
          <w:sz w:val="24"/>
          <w:szCs w:val="24"/>
        </w:rPr>
        <w:t>3.5</w:t>
      </w:r>
      <w:r w:rsidRPr="002723E9">
        <w:rPr>
          <w:rFonts w:cs="Arial"/>
          <w:sz w:val="24"/>
          <w:szCs w:val="24"/>
        </w:rPr>
        <w:tab/>
        <w:t xml:space="preserve">Once adopted the masterplan will be one of many elements which will help deliver the vision of the Adopted Local Plan and ‘Making Mansfield: Towards 2030’ the Councils overarching strategy for transforming the district of Mansfield which sets out the four main challenges moving forward. It builds upon the work already undertaken by the Council, to support the preparation of the Town’s Fund Investment Plan which is moving towards a more mixed use town centre, improving public realm, access and linkages. The masterplan will also help to support future funding bids such as the Levelling </w:t>
      </w:r>
      <w:proofErr w:type="gramStart"/>
      <w:r w:rsidRPr="002723E9">
        <w:rPr>
          <w:rFonts w:cs="Arial"/>
          <w:sz w:val="24"/>
          <w:szCs w:val="24"/>
        </w:rPr>
        <w:t>Up</w:t>
      </w:r>
      <w:proofErr w:type="gramEnd"/>
      <w:r w:rsidRPr="002723E9">
        <w:rPr>
          <w:rFonts w:cs="Arial"/>
          <w:sz w:val="24"/>
          <w:szCs w:val="24"/>
        </w:rPr>
        <w:t xml:space="preserve"> Fund, and the UK Shared Prosperity Fund.</w:t>
      </w:r>
    </w:p>
    <w:p w14:paraId="738FA187" w14:textId="77777777" w:rsidR="002723E9" w:rsidRPr="002723E9" w:rsidRDefault="002723E9" w:rsidP="002723E9">
      <w:pPr>
        <w:rPr>
          <w:rFonts w:cs="Arial"/>
          <w:sz w:val="24"/>
          <w:szCs w:val="24"/>
        </w:rPr>
      </w:pPr>
    </w:p>
    <w:p w14:paraId="6834B95E" w14:textId="4C146C4A" w:rsidR="002723E9" w:rsidRPr="002723E9" w:rsidRDefault="002723E9" w:rsidP="002723E9">
      <w:pPr>
        <w:ind w:left="567" w:hanging="720"/>
        <w:rPr>
          <w:rFonts w:cs="Arial"/>
          <w:sz w:val="24"/>
          <w:szCs w:val="24"/>
        </w:rPr>
      </w:pPr>
      <w:r>
        <w:rPr>
          <w:rFonts w:cs="Arial"/>
          <w:sz w:val="24"/>
          <w:szCs w:val="24"/>
        </w:rPr>
        <w:t>3.6</w:t>
      </w:r>
      <w:r w:rsidRPr="002723E9">
        <w:rPr>
          <w:rFonts w:cs="Arial"/>
          <w:sz w:val="24"/>
          <w:szCs w:val="24"/>
        </w:rPr>
        <w:tab/>
        <w:t>The masterplan is not intended to be a formal planning document as the retail policies within the Local Plan are now out of date due to the changes made to the Use Class Order, this prevents adopting the masterplan as a Supplementary Planning Document. The masterplan is therefore a strategic high level document which contains development options for key regeneration sites over the next 15 years. Once the masterplan is adopted by the Council it will be used in pre-application discussions to set the direction that the local planning authority is moving in. In the determination of planning applications it will be a material consideration and will carry some weight given that the masterplan will have been consulted on for a six week period in conformity with the Councils adopted Statement of Community Involvement.</w:t>
      </w:r>
    </w:p>
    <w:p w14:paraId="49B838C5" w14:textId="77777777" w:rsidR="002723E9" w:rsidRPr="002723E9" w:rsidRDefault="002723E9" w:rsidP="002723E9">
      <w:pPr>
        <w:rPr>
          <w:rFonts w:cs="Arial"/>
          <w:sz w:val="24"/>
          <w:szCs w:val="24"/>
        </w:rPr>
      </w:pPr>
      <w:r w:rsidRPr="002723E9">
        <w:rPr>
          <w:rFonts w:cs="Arial"/>
          <w:sz w:val="24"/>
          <w:szCs w:val="24"/>
        </w:rPr>
        <w:t xml:space="preserve">          </w:t>
      </w:r>
    </w:p>
    <w:p w14:paraId="3B66AD71" w14:textId="5F2031D5" w:rsidR="002723E9" w:rsidRPr="002723E9" w:rsidRDefault="002723E9" w:rsidP="002723E9">
      <w:pPr>
        <w:ind w:left="567" w:hanging="567"/>
        <w:rPr>
          <w:rFonts w:cs="Arial"/>
          <w:sz w:val="24"/>
          <w:szCs w:val="24"/>
        </w:rPr>
      </w:pPr>
      <w:r>
        <w:rPr>
          <w:rFonts w:cs="Arial"/>
          <w:sz w:val="24"/>
          <w:szCs w:val="24"/>
        </w:rPr>
        <w:t>3.7</w:t>
      </w:r>
      <w:r w:rsidRPr="002723E9">
        <w:rPr>
          <w:rFonts w:cs="Arial"/>
          <w:sz w:val="24"/>
          <w:szCs w:val="24"/>
        </w:rPr>
        <w:tab/>
        <w:t>The masterplan will also be a key document that sits alongside all the other evidence base documents when the council reviews the current, adopted local plan. The masterplan itself will be a living document which can be reviewed and updated as required to take account of changing circumstances both at a local level e.g. due to a site being delivered or nationally e.g. due to a change in planning policy or legislation.</w:t>
      </w:r>
    </w:p>
    <w:p w14:paraId="6D1893A7" w14:textId="77777777" w:rsidR="002723E9" w:rsidRPr="002723E9" w:rsidRDefault="002723E9" w:rsidP="002723E9">
      <w:pPr>
        <w:rPr>
          <w:rFonts w:cs="Arial"/>
          <w:sz w:val="24"/>
          <w:szCs w:val="24"/>
        </w:rPr>
      </w:pPr>
    </w:p>
    <w:p w14:paraId="62E55212" w14:textId="77777777" w:rsidR="002723E9" w:rsidRPr="002723E9" w:rsidRDefault="002723E9" w:rsidP="002723E9">
      <w:pPr>
        <w:ind w:firstLine="720"/>
        <w:rPr>
          <w:rFonts w:cs="Arial"/>
          <w:sz w:val="24"/>
          <w:szCs w:val="24"/>
        </w:rPr>
      </w:pPr>
      <w:r w:rsidRPr="002723E9">
        <w:rPr>
          <w:rFonts w:cs="Arial"/>
          <w:sz w:val="24"/>
          <w:szCs w:val="24"/>
          <w:u w:val="single"/>
        </w:rPr>
        <w:t>Content of the masterplan</w:t>
      </w:r>
    </w:p>
    <w:p w14:paraId="128A65AB" w14:textId="77777777" w:rsidR="002723E9" w:rsidRPr="002723E9" w:rsidRDefault="002723E9" w:rsidP="002723E9">
      <w:pPr>
        <w:rPr>
          <w:rFonts w:cs="Arial"/>
          <w:sz w:val="24"/>
          <w:szCs w:val="24"/>
        </w:rPr>
      </w:pPr>
    </w:p>
    <w:p w14:paraId="626AFE87" w14:textId="0ADA3BD1" w:rsidR="002723E9" w:rsidRPr="002723E9" w:rsidRDefault="002723E9" w:rsidP="002723E9">
      <w:pPr>
        <w:rPr>
          <w:rFonts w:cs="Arial"/>
          <w:sz w:val="24"/>
          <w:szCs w:val="24"/>
        </w:rPr>
      </w:pPr>
      <w:r>
        <w:rPr>
          <w:rFonts w:cs="Arial"/>
          <w:sz w:val="24"/>
          <w:szCs w:val="24"/>
        </w:rPr>
        <w:t xml:space="preserve">3.8   </w:t>
      </w:r>
      <w:r w:rsidRPr="002723E9">
        <w:rPr>
          <w:rFonts w:cs="Arial"/>
          <w:sz w:val="24"/>
          <w:szCs w:val="24"/>
        </w:rPr>
        <w:t>The masterplan is structured into four key parts:</w:t>
      </w:r>
    </w:p>
    <w:p w14:paraId="3DB35DBB" w14:textId="77777777" w:rsidR="002723E9" w:rsidRPr="002723E9" w:rsidRDefault="002723E9" w:rsidP="002723E9">
      <w:pPr>
        <w:rPr>
          <w:rFonts w:cs="Arial"/>
          <w:sz w:val="24"/>
          <w:szCs w:val="24"/>
        </w:rPr>
      </w:pPr>
    </w:p>
    <w:p w14:paraId="251F9CDC" w14:textId="77777777" w:rsidR="002723E9" w:rsidRPr="002723E9" w:rsidRDefault="002723E9" w:rsidP="002723E9">
      <w:pPr>
        <w:ind w:firstLine="720"/>
        <w:rPr>
          <w:rFonts w:cs="Arial"/>
          <w:sz w:val="24"/>
          <w:szCs w:val="24"/>
        </w:rPr>
      </w:pPr>
      <w:r w:rsidRPr="002723E9">
        <w:rPr>
          <w:rFonts w:cs="Arial"/>
          <w:b/>
          <w:sz w:val="24"/>
          <w:szCs w:val="24"/>
        </w:rPr>
        <w:t>Development principles</w:t>
      </w:r>
    </w:p>
    <w:p w14:paraId="48D17A2A" w14:textId="77777777" w:rsidR="002723E9" w:rsidRPr="002723E9" w:rsidRDefault="002723E9" w:rsidP="002723E9">
      <w:pPr>
        <w:rPr>
          <w:rFonts w:cs="Arial"/>
          <w:sz w:val="24"/>
          <w:szCs w:val="24"/>
        </w:rPr>
      </w:pPr>
    </w:p>
    <w:p w14:paraId="274879B9" w14:textId="42C8C065" w:rsidR="002723E9" w:rsidRPr="002723E9" w:rsidRDefault="002723E9" w:rsidP="002723E9">
      <w:pPr>
        <w:ind w:left="567" w:hanging="567"/>
        <w:rPr>
          <w:rFonts w:cs="Arial"/>
          <w:sz w:val="24"/>
          <w:szCs w:val="24"/>
        </w:rPr>
      </w:pPr>
      <w:r>
        <w:rPr>
          <w:rFonts w:cs="Arial"/>
          <w:sz w:val="24"/>
          <w:szCs w:val="24"/>
        </w:rPr>
        <w:t>3.9</w:t>
      </w:r>
      <w:r w:rsidRPr="002723E9">
        <w:rPr>
          <w:rFonts w:cs="Arial"/>
          <w:sz w:val="24"/>
          <w:szCs w:val="24"/>
        </w:rPr>
        <w:tab/>
        <w:t>This sets out a vision statement and a Unique Selling Point (USP) for Mansfield Town Centre which is based on twelve elements.  These have given consideration to and are aligned with the themes which are emerging as part of a separate piece of work which is being undertaken regarding MDC branding as part of the Towns Fund. Eight key principles are set out in the masterplan and these are designed to guide new development, strengthen Mansfield’s USP and deliver the vision.  These principles are:</w:t>
      </w:r>
    </w:p>
    <w:p w14:paraId="2272673B" w14:textId="77777777" w:rsidR="002723E9" w:rsidRPr="002723E9" w:rsidRDefault="002723E9" w:rsidP="002723E9">
      <w:pPr>
        <w:rPr>
          <w:rFonts w:cs="Arial"/>
          <w:sz w:val="24"/>
          <w:szCs w:val="24"/>
        </w:rPr>
      </w:pPr>
    </w:p>
    <w:p w14:paraId="19EEFEAE"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A place to live and play;</w:t>
      </w:r>
    </w:p>
    <w:p w14:paraId="00AD0E30"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A place for innovation and education;</w:t>
      </w:r>
    </w:p>
    <w:p w14:paraId="0A060B07"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Valuing Mansfield’s public space;</w:t>
      </w:r>
    </w:p>
    <w:p w14:paraId="24E1B8E1"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Greening Mansfield;</w:t>
      </w:r>
    </w:p>
    <w:p w14:paraId="027E4A99"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Celebrate and repair Mansfield’s historic fabric;</w:t>
      </w:r>
    </w:p>
    <w:p w14:paraId="420089EA"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A connected network of destinations and varied characterful routes;</w:t>
      </w:r>
    </w:p>
    <w:p w14:paraId="29B7AC4B"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Uniting the town centre with its neighbourhoods; and</w:t>
      </w:r>
    </w:p>
    <w:p w14:paraId="0659769E" w14:textId="77777777" w:rsidR="002723E9" w:rsidRPr="002723E9" w:rsidRDefault="002723E9" w:rsidP="002723E9">
      <w:pPr>
        <w:numPr>
          <w:ilvl w:val="0"/>
          <w:numId w:val="23"/>
        </w:numPr>
        <w:ind w:left="1276" w:hanging="425"/>
        <w:rPr>
          <w:rFonts w:cs="Arial"/>
          <w:sz w:val="24"/>
          <w:szCs w:val="24"/>
        </w:rPr>
      </w:pPr>
      <w:r w:rsidRPr="002723E9">
        <w:rPr>
          <w:rFonts w:cs="Arial"/>
          <w:sz w:val="24"/>
          <w:szCs w:val="24"/>
        </w:rPr>
        <w:t>Providing a welcome worthy of Mansfield</w:t>
      </w:r>
    </w:p>
    <w:p w14:paraId="312835CF" w14:textId="77777777" w:rsidR="002723E9" w:rsidRPr="002723E9" w:rsidRDefault="002723E9" w:rsidP="002723E9">
      <w:pPr>
        <w:rPr>
          <w:rFonts w:cs="Arial"/>
          <w:sz w:val="24"/>
          <w:szCs w:val="24"/>
        </w:rPr>
      </w:pPr>
    </w:p>
    <w:p w14:paraId="6EA518B1" w14:textId="77777777" w:rsidR="002723E9" w:rsidRPr="002723E9" w:rsidRDefault="002723E9" w:rsidP="002723E9">
      <w:pPr>
        <w:ind w:firstLine="720"/>
        <w:rPr>
          <w:rFonts w:cs="Arial"/>
          <w:sz w:val="24"/>
          <w:szCs w:val="24"/>
        </w:rPr>
      </w:pPr>
      <w:r w:rsidRPr="002723E9">
        <w:rPr>
          <w:rFonts w:cs="Arial"/>
          <w:b/>
          <w:sz w:val="24"/>
          <w:szCs w:val="24"/>
        </w:rPr>
        <w:t>The Framework</w:t>
      </w:r>
    </w:p>
    <w:p w14:paraId="4EB13DFA" w14:textId="77777777" w:rsidR="002723E9" w:rsidRPr="002723E9" w:rsidRDefault="002723E9" w:rsidP="002723E9">
      <w:pPr>
        <w:rPr>
          <w:rFonts w:cs="Arial"/>
          <w:sz w:val="24"/>
          <w:szCs w:val="24"/>
        </w:rPr>
      </w:pPr>
    </w:p>
    <w:p w14:paraId="00A38D72" w14:textId="16B789DF" w:rsidR="002723E9" w:rsidRPr="002723E9" w:rsidRDefault="002723E9" w:rsidP="002723E9">
      <w:pPr>
        <w:ind w:left="567" w:hanging="720"/>
        <w:rPr>
          <w:rFonts w:cs="Arial"/>
          <w:sz w:val="24"/>
          <w:szCs w:val="24"/>
        </w:rPr>
      </w:pPr>
      <w:r>
        <w:rPr>
          <w:rFonts w:cs="Arial"/>
          <w:sz w:val="24"/>
          <w:szCs w:val="24"/>
        </w:rPr>
        <w:t>3.10</w:t>
      </w:r>
      <w:r w:rsidRPr="002723E9">
        <w:rPr>
          <w:rFonts w:cs="Arial"/>
          <w:sz w:val="24"/>
          <w:szCs w:val="24"/>
        </w:rPr>
        <w:tab/>
        <w:t xml:space="preserve">This sets out the plans for Mansfield at a town-wide scale and contains 6 elements:  </w:t>
      </w:r>
    </w:p>
    <w:p w14:paraId="1D75F7ED" w14:textId="77777777" w:rsidR="002723E9" w:rsidRPr="002723E9" w:rsidRDefault="002723E9" w:rsidP="002723E9">
      <w:pPr>
        <w:rPr>
          <w:rFonts w:cs="Arial"/>
          <w:sz w:val="24"/>
          <w:szCs w:val="24"/>
        </w:rPr>
      </w:pPr>
    </w:p>
    <w:p w14:paraId="51B50AB3"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Overall Framework Plan - Provides guidance on future development within the town centre. An accompanying roof / block plan provides an illustration of how the vision could be applied.  More detailed information about the various sites which have been identified for future development is set out in a separate section of the masterplan.</w:t>
      </w:r>
    </w:p>
    <w:p w14:paraId="296864EF"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 xml:space="preserve">Public Realm – Identifies a number principles around the whole area of public realm.  As part of this it identifies a hierarchy of streets and includes; key public spaces, green spaces, primary pedestrianised routes, secondary routes and yards and alleys.   </w:t>
      </w:r>
    </w:p>
    <w:p w14:paraId="24F4F633"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 xml:space="preserve">Movement Framework – Identifies various issues relating to private and public transport.  It includes a plan of high level opportunities and projects which could be introduced over the lifetime of the masterplan and beyond.  These will have to align with county council policies and objectives and will be subject to further work most notably transport modelling at a later date to determine the suitability and viability of projects.   </w:t>
      </w:r>
    </w:p>
    <w:p w14:paraId="6495C00B"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Land Uses – Identifies possible areas for residential, mixed use and parking / servicing.  More detailed information is set out in the site guidance (see below);</w:t>
      </w:r>
    </w:p>
    <w:p w14:paraId="5FF544B4"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Heights, Scale and Massing – Provides guidance on the proposed building heights within the Mansfield Town Centre Masterplan.  These range from 1-2 storey to 4 storey;</w:t>
      </w:r>
    </w:p>
    <w:p w14:paraId="5F599E02" w14:textId="77777777" w:rsidR="002723E9" w:rsidRPr="002723E9" w:rsidRDefault="002723E9" w:rsidP="002723E9">
      <w:pPr>
        <w:numPr>
          <w:ilvl w:val="0"/>
          <w:numId w:val="24"/>
        </w:numPr>
        <w:ind w:left="1134" w:hanging="283"/>
        <w:rPr>
          <w:rFonts w:cs="Arial"/>
          <w:sz w:val="24"/>
          <w:szCs w:val="24"/>
        </w:rPr>
      </w:pPr>
      <w:r w:rsidRPr="002723E9">
        <w:rPr>
          <w:rFonts w:cs="Arial"/>
          <w:sz w:val="24"/>
          <w:szCs w:val="24"/>
        </w:rPr>
        <w:t xml:space="preserve">Health, Innovation and Sustainability – Introduces elements around “Smart Cities”.  This is an approach in which increased citizen engagement, hard infrastructure, social capital and digital technologies make cities more liveable, resilient and better able to respond to challenges. Further information about measures to help implement this is contained in the delivery strategy section of the masterplan. </w:t>
      </w:r>
    </w:p>
    <w:p w14:paraId="0C0F8CCB" w14:textId="77777777" w:rsidR="002723E9" w:rsidRPr="002723E9" w:rsidRDefault="002723E9" w:rsidP="002723E9">
      <w:pPr>
        <w:ind w:left="1134" w:hanging="283"/>
        <w:rPr>
          <w:rFonts w:cs="Arial"/>
          <w:b/>
          <w:sz w:val="24"/>
          <w:szCs w:val="24"/>
        </w:rPr>
      </w:pPr>
    </w:p>
    <w:p w14:paraId="4B9907F6" w14:textId="77777777" w:rsidR="002723E9" w:rsidRPr="002723E9" w:rsidRDefault="002723E9" w:rsidP="002723E9">
      <w:pPr>
        <w:ind w:firstLine="720"/>
        <w:rPr>
          <w:rFonts w:cs="Arial"/>
          <w:sz w:val="24"/>
          <w:szCs w:val="24"/>
        </w:rPr>
      </w:pPr>
      <w:r w:rsidRPr="002723E9">
        <w:rPr>
          <w:rFonts w:cs="Arial"/>
          <w:b/>
          <w:sz w:val="24"/>
          <w:szCs w:val="24"/>
        </w:rPr>
        <w:t>Site Guidance</w:t>
      </w:r>
    </w:p>
    <w:p w14:paraId="48D33565" w14:textId="77777777" w:rsidR="002723E9" w:rsidRPr="002723E9" w:rsidRDefault="002723E9" w:rsidP="002723E9">
      <w:pPr>
        <w:rPr>
          <w:rFonts w:cs="Arial"/>
          <w:sz w:val="24"/>
          <w:szCs w:val="24"/>
        </w:rPr>
      </w:pPr>
    </w:p>
    <w:p w14:paraId="69B4330A" w14:textId="67BF5258" w:rsidR="002723E9" w:rsidRPr="002723E9" w:rsidRDefault="002723E9" w:rsidP="002723E9">
      <w:pPr>
        <w:ind w:left="567" w:hanging="567"/>
        <w:rPr>
          <w:rFonts w:cs="Arial"/>
          <w:sz w:val="24"/>
          <w:szCs w:val="24"/>
        </w:rPr>
      </w:pPr>
      <w:r>
        <w:rPr>
          <w:rFonts w:cs="Arial"/>
          <w:sz w:val="24"/>
          <w:szCs w:val="24"/>
        </w:rPr>
        <w:t>3.11</w:t>
      </w:r>
      <w:r w:rsidRPr="002723E9">
        <w:rPr>
          <w:rFonts w:cs="Arial"/>
          <w:sz w:val="24"/>
          <w:szCs w:val="24"/>
        </w:rPr>
        <w:tab/>
        <w:t>This chapter sets out guidance for potential development sites within the Mansfield Town Centre Masterplan area namely:</w:t>
      </w:r>
    </w:p>
    <w:p w14:paraId="4116EE2F" w14:textId="77777777" w:rsidR="002723E9" w:rsidRPr="002723E9" w:rsidRDefault="002723E9" w:rsidP="002723E9">
      <w:pPr>
        <w:rPr>
          <w:rFonts w:cs="Arial"/>
          <w:sz w:val="24"/>
          <w:szCs w:val="24"/>
        </w:rPr>
      </w:pPr>
    </w:p>
    <w:p w14:paraId="27BC5BF7"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 xml:space="preserve">Beales; </w:t>
      </w:r>
    </w:p>
    <w:p w14:paraId="0020D2E0"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Rosemary Centre;</w:t>
      </w:r>
    </w:p>
    <w:p w14:paraId="06467B13"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Four Seasons Shopping Centre;</w:t>
      </w:r>
    </w:p>
    <w:p w14:paraId="58EC3502"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Walkden Street Car Park;</w:t>
      </w:r>
    </w:p>
    <w:p w14:paraId="78BA8346"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BHS and Clumber Street;</w:t>
      </w:r>
    </w:p>
    <w:p w14:paraId="264AFD8E"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Belvedere Street;</w:t>
      </w:r>
    </w:p>
    <w:p w14:paraId="25EE046F"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White Hart Street; and</w:t>
      </w:r>
    </w:p>
    <w:p w14:paraId="372CD39E" w14:textId="77777777" w:rsidR="002723E9" w:rsidRPr="002723E9" w:rsidRDefault="002723E9" w:rsidP="002723E9">
      <w:pPr>
        <w:numPr>
          <w:ilvl w:val="0"/>
          <w:numId w:val="22"/>
        </w:numPr>
        <w:ind w:left="1276" w:hanging="567"/>
        <w:rPr>
          <w:rFonts w:cs="Arial"/>
          <w:sz w:val="24"/>
          <w:szCs w:val="24"/>
        </w:rPr>
      </w:pPr>
      <w:r w:rsidRPr="002723E9">
        <w:rPr>
          <w:rFonts w:cs="Arial"/>
          <w:sz w:val="24"/>
          <w:szCs w:val="24"/>
        </w:rPr>
        <w:t>Toothill Lane</w:t>
      </w:r>
    </w:p>
    <w:p w14:paraId="4DBF1E34" w14:textId="77777777" w:rsidR="002723E9" w:rsidRPr="002723E9" w:rsidRDefault="002723E9" w:rsidP="002723E9">
      <w:pPr>
        <w:rPr>
          <w:rFonts w:cs="Arial"/>
          <w:sz w:val="24"/>
          <w:szCs w:val="24"/>
        </w:rPr>
      </w:pPr>
    </w:p>
    <w:p w14:paraId="37F68782" w14:textId="395464D5" w:rsidR="002723E9" w:rsidRPr="002723E9" w:rsidRDefault="002723E9" w:rsidP="002723E9">
      <w:pPr>
        <w:ind w:left="567" w:hanging="709"/>
        <w:rPr>
          <w:rFonts w:cs="Arial"/>
          <w:sz w:val="24"/>
          <w:szCs w:val="24"/>
        </w:rPr>
      </w:pPr>
      <w:r>
        <w:rPr>
          <w:rFonts w:cs="Arial"/>
          <w:sz w:val="24"/>
          <w:szCs w:val="24"/>
        </w:rPr>
        <w:t>3.12</w:t>
      </w:r>
      <w:r w:rsidRPr="002723E9">
        <w:rPr>
          <w:rFonts w:cs="Arial"/>
          <w:sz w:val="24"/>
          <w:szCs w:val="24"/>
        </w:rPr>
        <w:tab/>
        <w:t>This guidance is supported by a viability and delivery report which has been prepared by Cushman Wakefield which will not be published alongside the masterplan for consultation due to commercial sensitivity.</w:t>
      </w:r>
    </w:p>
    <w:p w14:paraId="07B95F2C" w14:textId="77777777" w:rsidR="002723E9" w:rsidRPr="002723E9" w:rsidRDefault="002723E9" w:rsidP="002723E9">
      <w:pPr>
        <w:rPr>
          <w:rFonts w:cs="Arial"/>
          <w:sz w:val="24"/>
          <w:szCs w:val="24"/>
        </w:rPr>
      </w:pPr>
    </w:p>
    <w:p w14:paraId="6D84BF66" w14:textId="5A20B8DA" w:rsidR="002723E9" w:rsidRPr="002723E9" w:rsidRDefault="002723E9" w:rsidP="002723E9">
      <w:pPr>
        <w:ind w:left="567" w:hanging="709"/>
        <w:rPr>
          <w:rFonts w:cs="Arial"/>
          <w:sz w:val="24"/>
          <w:szCs w:val="24"/>
        </w:rPr>
      </w:pPr>
      <w:r>
        <w:rPr>
          <w:rFonts w:cs="Arial"/>
          <w:sz w:val="24"/>
          <w:szCs w:val="24"/>
        </w:rPr>
        <w:t>3.13</w:t>
      </w:r>
      <w:r w:rsidRPr="002723E9">
        <w:rPr>
          <w:rFonts w:cs="Arial"/>
          <w:sz w:val="24"/>
          <w:szCs w:val="24"/>
        </w:rPr>
        <w:tab/>
        <w:t xml:space="preserve">The urban design framework, other illustrations and precedents included in this section are indicative and provide guidance for future detailed designs. </w:t>
      </w:r>
    </w:p>
    <w:p w14:paraId="18AF9089" w14:textId="77777777" w:rsidR="002723E9" w:rsidRPr="002723E9" w:rsidRDefault="002723E9" w:rsidP="002723E9">
      <w:pPr>
        <w:rPr>
          <w:rFonts w:cs="Arial"/>
          <w:sz w:val="24"/>
          <w:szCs w:val="24"/>
        </w:rPr>
      </w:pPr>
    </w:p>
    <w:p w14:paraId="2248A193" w14:textId="6AD1F6BA" w:rsidR="002723E9" w:rsidRPr="002723E9" w:rsidRDefault="002723E9" w:rsidP="002723E9">
      <w:pPr>
        <w:ind w:left="567" w:hanging="709"/>
        <w:rPr>
          <w:rFonts w:cs="Arial"/>
          <w:sz w:val="24"/>
          <w:szCs w:val="24"/>
        </w:rPr>
      </w:pPr>
      <w:r>
        <w:rPr>
          <w:rFonts w:cs="Arial"/>
          <w:sz w:val="24"/>
          <w:szCs w:val="24"/>
        </w:rPr>
        <w:t>3.14</w:t>
      </w:r>
      <w:r w:rsidRPr="002723E9">
        <w:rPr>
          <w:rFonts w:cs="Arial"/>
          <w:sz w:val="24"/>
          <w:szCs w:val="24"/>
        </w:rPr>
        <w:tab/>
        <w:t>The site guidance will help inform development opportunities as they come forward and should be read alongside national and local planning policy. Other town centre projects may come forward which have not been included within this guidance but these projects should comply with existing policy and the principles outlined in the document.</w:t>
      </w:r>
    </w:p>
    <w:p w14:paraId="576B5B05" w14:textId="77777777" w:rsidR="002723E9" w:rsidRPr="002723E9" w:rsidRDefault="002723E9" w:rsidP="002723E9">
      <w:pPr>
        <w:rPr>
          <w:rFonts w:cs="Arial"/>
          <w:sz w:val="24"/>
          <w:szCs w:val="24"/>
        </w:rPr>
      </w:pPr>
    </w:p>
    <w:p w14:paraId="4C8FA7C1" w14:textId="77777777" w:rsidR="002723E9" w:rsidRPr="002723E9" w:rsidRDefault="002723E9" w:rsidP="002723E9">
      <w:pPr>
        <w:ind w:firstLine="709"/>
        <w:rPr>
          <w:rFonts w:cs="Arial"/>
          <w:sz w:val="24"/>
          <w:szCs w:val="24"/>
        </w:rPr>
      </w:pPr>
      <w:r w:rsidRPr="002723E9">
        <w:rPr>
          <w:rFonts w:cs="Arial"/>
          <w:b/>
          <w:sz w:val="24"/>
          <w:szCs w:val="24"/>
        </w:rPr>
        <w:t>Delivery Strategy</w:t>
      </w:r>
      <w:r w:rsidRPr="002723E9">
        <w:rPr>
          <w:rFonts w:cs="Arial"/>
          <w:sz w:val="24"/>
          <w:szCs w:val="24"/>
        </w:rPr>
        <w:t xml:space="preserve"> </w:t>
      </w:r>
    </w:p>
    <w:p w14:paraId="3E238841" w14:textId="77777777" w:rsidR="002723E9" w:rsidRPr="002723E9" w:rsidRDefault="002723E9" w:rsidP="002723E9">
      <w:pPr>
        <w:rPr>
          <w:rFonts w:cs="Arial"/>
          <w:sz w:val="24"/>
          <w:szCs w:val="24"/>
        </w:rPr>
      </w:pPr>
    </w:p>
    <w:p w14:paraId="742F0A17" w14:textId="11B94C30" w:rsidR="002723E9" w:rsidRPr="002723E9" w:rsidRDefault="002723E9" w:rsidP="002723E9">
      <w:pPr>
        <w:ind w:left="567" w:hanging="709"/>
        <w:rPr>
          <w:rFonts w:cs="Arial"/>
          <w:sz w:val="24"/>
          <w:szCs w:val="24"/>
        </w:rPr>
      </w:pPr>
      <w:r w:rsidRPr="002723E9">
        <w:rPr>
          <w:rFonts w:cs="Arial"/>
          <w:sz w:val="24"/>
          <w:szCs w:val="24"/>
        </w:rPr>
        <w:t>3</w:t>
      </w:r>
      <w:r>
        <w:rPr>
          <w:rFonts w:cs="Arial"/>
          <w:sz w:val="24"/>
          <w:szCs w:val="24"/>
        </w:rPr>
        <w:t>.15</w:t>
      </w:r>
      <w:r w:rsidRPr="002723E9">
        <w:rPr>
          <w:rFonts w:cs="Arial"/>
          <w:sz w:val="24"/>
          <w:szCs w:val="24"/>
        </w:rPr>
        <w:tab/>
        <w:t>This sets out an action plan, phasing and delivery strategy which is recommended to facilitate the next stages in the delivery of the various sites which have been identified within the masterplan.  This includes the tools which are available to enable delivery and identifies the key stakeholders who will be involved in this process including MDC, NCC, landowners, developers and Historic England.</w:t>
      </w:r>
    </w:p>
    <w:p w14:paraId="4BA30473" w14:textId="77777777" w:rsidR="002723E9" w:rsidRPr="002723E9" w:rsidRDefault="002723E9" w:rsidP="002723E9">
      <w:pPr>
        <w:rPr>
          <w:rFonts w:cs="Arial"/>
          <w:sz w:val="24"/>
          <w:szCs w:val="24"/>
        </w:rPr>
      </w:pPr>
    </w:p>
    <w:p w14:paraId="47EE7F6D" w14:textId="29CEFE0F" w:rsidR="002723E9" w:rsidRPr="002723E9" w:rsidRDefault="002723E9" w:rsidP="002723E9">
      <w:pPr>
        <w:ind w:left="567" w:hanging="709"/>
        <w:rPr>
          <w:rFonts w:cs="Arial"/>
          <w:sz w:val="24"/>
          <w:szCs w:val="24"/>
        </w:rPr>
      </w:pPr>
      <w:r w:rsidRPr="002723E9">
        <w:rPr>
          <w:rFonts w:cs="Arial"/>
          <w:sz w:val="24"/>
          <w:szCs w:val="24"/>
        </w:rPr>
        <w:t>3</w:t>
      </w:r>
      <w:r>
        <w:rPr>
          <w:rFonts w:cs="Arial"/>
          <w:sz w:val="24"/>
          <w:szCs w:val="24"/>
        </w:rPr>
        <w:t>.16</w:t>
      </w:r>
      <w:r w:rsidRPr="002723E9">
        <w:rPr>
          <w:rFonts w:cs="Arial"/>
          <w:sz w:val="24"/>
          <w:szCs w:val="24"/>
        </w:rPr>
        <w:tab/>
        <w:t xml:space="preserve">The actions are broken down into short term (1 - 5 years), medium term (5 – 10 years) and long term (10+ years).  The actions are cross referenced to how they align with the 8 development principals.  </w:t>
      </w:r>
    </w:p>
    <w:p w14:paraId="1EC2E394" w14:textId="77777777" w:rsidR="002723E9" w:rsidRDefault="002723E9" w:rsidP="31DAEAF0">
      <w:pPr>
        <w:ind w:left="567" w:hanging="567"/>
        <w:jc w:val="left"/>
        <w:rPr>
          <w:rFonts w:eastAsia="Arial" w:cs="Arial"/>
          <w:color w:val="000000" w:themeColor="text1"/>
          <w:sz w:val="24"/>
          <w:szCs w:val="24"/>
        </w:rPr>
      </w:pPr>
    </w:p>
    <w:p w14:paraId="5CFBC21B" w14:textId="4CA26039" w:rsidR="31DAEAF0" w:rsidRDefault="31DAEAF0" w:rsidP="31DAEAF0">
      <w:pPr>
        <w:ind w:left="567" w:hanging="567"/>
        <w:jc w:val="left"/>
      </w:pPr>
      <w:r>
        <w:br/>
      </w:r>
    </w:p>
    <w:p w14:paraId="606948DA" w14:textId="0C502F03" w:rsidR="31DAEAF0" w:rsidRDefault="31DAEAF0" w:rsidP="31DAEAF0">
      <w:pPr>
        <w:ind w:left="709" w:hanging="709"/>
        <w:jc w:val="left"/>
      </w:pPr>
    </w:p>
    <w:p w14:paraId="57CFA2B6" w14:textId="7DCD4265" w:rsidR="31DAEAF0" w:rsidRDefault="31DAEAF0" w:rsidP="31DAEAF0">
      <w:pPr>
        <w:jc w:val="left"/>
      </w:pPr>
      <w:r>
        <w:br/>
      </w:r>
      <w:r>
        <w:br/>
      </w:r>
      <w:r>
        <w:br/>
      </w:r>
    </w:p>
    <w:tbl>
      <w:tblPr>
        <w:tblW w:w="0" w:type="auto"/>
        <w:tblInd w:w="108" w:type="dxa"/>
        <w:tblLayout w:type="fixed"/>
        <w:tblLook w:val="0000" w:firstRow="0" w:lastRow="0" w:firstColumn="0" w:lastColumn="0" w:noHBand="0" w:noVBand="0"/>
      </w:tblPr>
      <w:tblGrid>
        <w:gridCol w:w="1788"/>
        <w:gridCol w:w="296"/>
        <w:gridCol w:w="6910"/>
      </w:tblGrid>
      <w:tr w:rsidR="00DF75DC" w:rsidRPr="00367471" w14:paraId="0F3794CC" w14:textId="77777777" w:rsidTr="007A09C6">
        <w:tc>
          <w:tcPr>
            <w:tcW w:w="1788" w:type="dxa"/>
            <w:shd w:val="clear" w:color="auto" w:fill="auto"/>
          </w:tcPr>
          <w:p w14:paraId="53F8806F" w14:textId="77777777" w:rsidR="00DF75DC" w:rsidRPr="00367471" w:rsidRDefault="00DF75DC" w:rsidP="00312648">
            <w:pPr>
              <w:snapToGrid w:val="0"/>
              <w:ind w:left="567" w:hanging="567"/>
              <w:jc w:val="left"/>
              <w:rPr>
                <w:rFonts w:cs="Arial"/>
                <w:sz w:val="24"/>
                <w:szCs w:val="24"/>
              </w:rPr>
            </w:pPr>
            <w:r w:rsidRPr="00367471">
              <w:rPr>
                <w:rFonts w:cs="Arial"/>
                <w:sz w:val="24"/>
                <w:szCs w:val="24"/>
              </w:rPr>
              <w:t>Report Author</w:t>
            </w:r>
          </w:p>
        </w:tc>
        <w:tc>
          <w:tcPr>
            <w:tcW w:w="296" w:type="dxa"/>
            <w:shd w:val="clear" w:color="auto" w:fill="auto"/>
          </w:tcPr>
          <w:p w14:paraId="6A09E912"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56088172" w14:textId="29FC669D" w:rsidR="00DF75DC" w:rsidRPr="00367471" w:rsidRDefault="008C308F" w:rsidP="00312648">
            <w:pPr>
              <w:snapToGrid w:val="0"/>
              <w:ind w:left="567" w:hanging="567"/>
              <w:jc w:val="left"/>
              <w:rPr>
                <w:rFonts w:cs="Arial"/>
                <w:sz w:val="24"/>
                <w:szCs w:val="24"/>
              </w:rPr>
            </w:pPr>
            <w:r>
              <w:rPr>
                <w:rFonts w:cs="Arial"/>
                <w:sz w:val="24"/>
                <w:szCs w:val="24"/>
              </w:rPr>
              <w:t xml:space="preserve">Katie Mills </w:t>
            </w:r>
          </w:p>
        </w:tc>
      </w:tr>
      <w:tr w:rsidR="00DF75DC" w:rsidRPr="00367471" w14:paraId="41598B93" w14:textId="77777777" w:rsidTr="007A09C6">
        <w:tc>
          <w:tcPr>
            <w:tcW w:w="1788" w:type="dxa"/>
            <w:shd w:val="clear" w:color="auto" w:fill="auto"/>
          </w:tcPr>
          <w:p w14:paraId="5474599C" w14:textId="77777777" w:rsidR="00DF75DC" w:rsidRPr="00367471" w:rsidRDefault="00DF75DC" w:rsidP="00312648">
            <w:pPr>
              <w:snapToGrid w:val="0"/>
              <w:ind w:left="567" w:hanging="567"/>
              <w:jc w:val="left"/>
              <w:rPr>
                <w:rFonts w:cs="Arial"/>
                <w:sz w:val="24"/>
                <w:szCs w:val="24"/>
              </w:rPr>
            </w:pPr>
            <w:r w:rsidRPr="00367471">
              <w:rPr>
                <w:rFonts w:cs="Arial"/>
                <w:sz w:val="24"/>
                <w:szCs w:val="24"/>
              </w:rPr>
              <w:t>Designation</w:t>
            </w:r>
          </w:p>
        </w:tc>
        <w:tc>
          <w:tcPr>
            <w:tcW w:w="296" w:type="dxa"/>
            <w:shd w:val="clear" w:color="auto" w:fill="auto"/>
          </w:tcPr>
          <w:p w14:paraId="33E67AC6"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3A2B84B4" w14:textId="403DF710" w:rsidR="00DF75DC" w:rsidRPr="00367471" w:rsidRDefault="008C308F" w:rsidP="00312648">
            <w:pPr>
              <w:snapToGrid w:val="0"/>
              <w:ind w:left="567" w:hanging="567"/>
              <w:jc w:val="left"/>
              <w:rPr>
                <w:rFonts w:cs="Arial"/>
                <w:sz w:val="24"/>
                <w:szCs w:val="24"/>
              </w:rPr>
            </w:pPr>
            <w:r>
              <w:rPr>
                <w:rFonts w:cs="Arial"/>
                <w:sz w:val="24"/>
                <w:szCs w:val="24"/>
              </w:rPr>
              <w:t>Planning Policy Team Leader</w:t>
            </w:r>
          </w:p>
        </w:tc>
      </w:tr>
      <w:tr w:rsidR="00DF75DC" w:rsidRPr="00367471" w14:paraId="65B3F82A" w14:textId="77777777" w:rsidTr="007A09C6">
        <w:tc>
          <w:tcPr>
            <w:tcW w:w="1788" w:type="dxa"/>
            <w:shd w:val="clear" w:color="auto" w:fill="auto"/>
          </w:tcPr>
          <w:p w14:paraId="322B2265" w14:textId="77777777" w:rsidR="00DF75DC" w:rsidRPr="00367471" w:rsidRDefault="00DF75DC" w:rsidP="00312648">
            <w:pPr>
              <w:snapToGrid w:val="0"/>
              <w:ind w:left="567" w:hanging="567"/>
              <w:jc w:val="left"/>
              <w:rPr>
                <w:rFonts w:cs="Arial"/>
                <w:sz w:val="24"/>
                <w:szCs w:val="24"/>
              </w:rPr>
            </w:pPr>
            <w:r w:rsidRPr="00367471">
              <w:rPr>
                <w:rFonts w:cs="Arial"/>
                <w:sz w:val="24"/>
                <w:szCs w:val="24"/>
              </w:rPr>
              <w:t>Telephone</w:t>
            </w:r>
          </w:p>
        </w:tc>
        <w:tc>
          <w:tcPr>
            <w:tcW w:w="296" w:type="dxa"/>
            <w:shd w:val="clear" w:color="auto" w:fill="auto"/>
          </w:tcPr>
          <w:p w14:paraId="1BBD13F9"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5FB7D755" w14:textId="70D1278F" w:rsidR="00DF75DC" w:rsidRPr="00367471" w:rsidRDefault="0063213F" w:rsidP="00CD2C80">
            <w:pPr>
              <w:snapToGrid w:val="0"/>
              <w:ind w:left="567" w:hanging="567"/>
              <w:jc w:val="left"/>
              <w:rPr>
                <w:rFonts w:cs="Arial"/>
                <w:sz w:val="24"/>
                <w:szCs w:val="24"/>
              </w:rPr>
            </w:pPr>
            <w:r w:rsidRPr="00367471">
              <w:rPr>
                <w:rFonts w:cs="Arial"/>
                <w:sz w:val="24"/>
                <w:szCs w:val="24"/>
              </w:rPr>
              <w:t>016</w:t>
            </w:r>
            <w:r w:rsidR="00DD5C18" w:rsidRPr="00367471">
              <w:rPr>
                <w:rFonts w:cs="Arial"/>
                <w:sz w:val="24"/>
                <w:szCs w:val="24"/>
              </w:rPr>
              <w:t>23 463</w:t>
            </w:r>
            <w:r w:rsidR="008C308F">
              <w:rPr>
                <w:rFonts w:cs="Arial"/>
                <w:sz w:val="24"/>
                <w:szCs w:val="24"/>
              </w:rPr>
              <w:t>195</w:t>
            </w:r>
          </w:p>
        </w:tc>
      </w:tr>
      <w:tr w:rsidR="00DF75DC" w:rsidRPr="00367471" w14:paraId="6E43F917" w14:textId="77777777" w:rsidTr="007A09C6">
        <w:tc>
          <w:tcPr>
            <w:tcW w:w="1788" w:type="dxa"/>
            <w:shd w:val="clear" w:color="auto" w:fill="auto"/>
          </w:tcPr>
          <w:p w14:paraId="5A67876E" w14:textId="77777777" w:rsidR="00DF75DC" w:rsidRPr="00367471" w:rsidRDefault="00DF75DC" w:rsidP="00312648">
            <w:pPr>
              <w:snapToGrid w:val="0"/>
              <w:ind w:left="567" w:hanging="567"/>
              <w:jc w:val="left"/>
              <w:rPr>
                <w:rFonts w:cs="Arial"/>
                <w:sz w:val="24"/>
                <w:szCs w:val="24"/>
              </w:rPr>
            </w:pPr>
            <w:r w:rsidRPr="00367471">
              <w:rPr>
                <w:rFonts w:cs="Arial"/>
                <w:sz w:val="24"/>
                <w:szCs w:val="24"/>
              </w:rPr>
              <w:t>E-mail</w:t>
            </w:r>
          </w:p>
        </w:tc>
        <w:tc>
          <w:tcPr>
            <w:tcW w:w="296" w:type="dxa"/>
            <w:shd w:val="clear" w:color="auto" w:fill="auto"/>
          </w:tcPr>
          <w:p w14:paraId="0BE14808" w14:textId="77777777" w:rsidR="00DF75DC" w:rsidRPr="00367471" w:rsidRDefault="00DF75DC" w:rsidP="00312648">
            <w:pPr>
              <w:snapToGrid w:val="0"/>
              <w:ind w:left="567" w:hanging="567"/>
              <w:jc w:val="left"/>
              <w:rPr>
                <w:rFonts w:cs="Arial"/>
                <w:sz w:val="24"/>
                <w:szCs w:val="24"/>
              </w:rPr>
            </w:pPr>
            <w:r w:rsidRPr="00367471">
              <w:rPr>
                <w:rFonts w:cs="Arial"/>
                <w:sz w:val="24"/>
                <w:szCs w:val="24"/>
              </w:rPr>
              <w:t>-</w:t>
            </w:r>
          </w:p>
        </w:tc>
        <w:tc>
          <w:tcPr>
            <w:tcW w:w="6910" w:type="dxa"/>
            <w:shd w:val="clear" w:color="auto" w:fill="auto"/>
          </w:tcPr>
          <w:p w14:paraId="310267C4" w14:textId="2E2CFC6E" w:rsidR="00DF75DC" w:rsidRPr="00367471" w:rsidRDefault="006A38FF" w:rsidP="00312648">
            <w:pPr>
              <w:snapToGrid w:val="0"/>
              <w:ind w:left="567" w:hanging="567"/>
              <w:jc w:val="left"/>
              <w:rPr>
                <w:rFonts w:cs="Arial"/>
                <w:sz w:val="24"/>
                <w:szCs w:val="24"/>
              </w:rPr>
            </w:pPr>
            <w:hyperlink r:id="rId6" w:history="1">
              <w:r w:rsidR="008C308F" w:rsidRPr="00131B87">
                <w:rPr>
                  <w:rStyle w:val="Hyperlink"/>
                  <w:rFonts w:cs="Arial"/>
                  <w:sz w:val="24"/>
                  <w:szCs w:val="24"/>
                </w:rPr>
                <w:t>kmills@mansfield.gov.uk</w:t>
              </w:r>
            </w:hyperlink>
            <w:r w:rsidR="008C308F">
              <w:rPr>
                <w:rFonts w:cs="Arial"/>
                <w:sz w:val="24"/>
                <w:szCs w:val="24"/>
              </w:rPr>
              <w:t xml:space="preserve"> </w:t>
            </w:r>
          </w:p>
        </w:tc>
      </w:tr>
    </w:tbl>
    <w:p w14:paraId="238601FE" w14:textId="77777777" w:rsidR="00DF75DC" w:rsidRPr="00367471" w:rsidRDefault="00DF75DC" w:rsidP="00352E71">
      <w:pPr>
        <w:jc w:val="left"/>
        <w:rPr>
          <w:rFonts w:cs="Arial"/>
          <w:sz w:val="24"/>
          <w:szCs w:val="24"/>
        </w:rPr>
      </w:pPr>
    </w:p>
    <w:sectPr w:rsidR="00DF75DC" w:rsidRPr="00367471" w:rsidSect="00AA7023">
      <w:pgSz w:w="11906" w:h="16838"/>
      <w:pgMar w:top="709" w:right="1440" w:bottom="42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23FD"/>
    <w:multiLevelType w:val="hybridMultilevel"/>
    <w:tmpl w:val="92AEC3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3B49F5"/>
    <w:multiLevelType w:val="hybridMultilevel"/>
    <w:tmpl w:val="1942798A"/>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2" w15:restartNumberingAfterBreak="0">
    <w:nsid w:val="0AEB0CA5"/>
    <w:multiLevelType w:val="hybridMultilevel"/>
    <w:tmpl w:val="914A5BE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104840D4"/>
    <w:multiLevelType w:val="hybridMultilevel"/>
    <w:tmpl w:val="891451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6601D41"/>
    <w:multiLevelType w:val="hybridMultilevel"/>
    <w:tmpl w:val="14E6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872F8F"/>
    <w:multiLevelType w:val="hybridMultilevel"/>
    <w:tmpl w:val="6A6C1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5179BD"/>
    <w:multiLevelType w:val="hybridMultilevel"/>
    <w:tmpl w:val="4E86C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41D49"/>
    <w:multiLevelType w:val="hybridMultilevel"/>
    <w:tmpl w:val="5590E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76922"/>
    <w:multiLevelType w:val="hybridMultilevel"/>
    <w:tmpl w:val="2250D0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FEC4DBF"/>
    <w:multiLevelType w:val="hybridMultilevel"/>
    <w:tmpl w:val="CD18B60C"/>
    <w:lvl w:ilvl="0" w:tplc="08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0" w15:restartNumberingAfterBreak="0">
    <w:nsid w:val="249A53FE"/>
    <w:multiLevelType w:val="hybridMultilevel"/>
    <w:tmpl w:val="EA3EFEA4"/>
    <w:lvl w:ilvl="0" w:tplc="08090001">
      <w:start w:val="1"/>
      <w:numFmt w:val="bullet"/>
      <w:lvlText w:val=""/>
      <w:lvlJc w:val="left"/>
      <w:pPr>
        <w:ind w:left="1644" w:hanging="360"/>
      </w:pPr>
      <w:rPr>
        <w:rFonts w:ascii="Symbol" w:hAnsi="Symbol" w:hint="default"/>
      </w:rPr>
    </w:lvl>
    <w:lvl w:ilvl="1" w:tplc="08090003" w:tentative="1">
      <w:start w:val="1"/>
      <w:numFmt w:val="bullet"/>
      <w:lvlText w:val="o"/>
      <w:lvlJc w:val="left"/>
      <w:pPr>
        <w:ind w:left="2364" w:hanging="360"/>
      </w:pPr>
      <w:rPr>
        <w:rFonts w:ascii="Courier New" w:hAnsi="Courier New" w:cs="Courier New" w:hint="default"/>
      </w:rPr>
    </w:lvl>
    <w:lvl w:ilvl="2" w:tplc="08090005" w:tentative="1">
      <w:start w:val="1"/>
      <w:numFmt w:val="bullet"/>
      <w:lvlText w:val=""/>
      <w:lvlJc w:val="left"/>
      <w:pPr>
        <w:ind w:left="3084" w:hanging="360"/>
      </w:pPr>
      <w:rPr>
        <w:rFonts w:ascii="Wingdings" w:hAnsi="Wingdings" w:hint="default"/>
      </w:rPr>
    </w:lvl>
    <w:lvl w:ilvl="3" w:tplc="08090001" w:tentative="1">
      <w:start w:val="1"/>
      <w:numFmt w:val="bullet"/>
      <w:lvlText w:val=""/>
      <w:lvlJc w:val="left"/>
      <w:pPr>
        <w:ind w:left="3804" w:hanging="360"/>
      </w:pPr>
      <w:rPr>
        <w:rFonts w:ascii="Symbol" w:hAnsi="Symbol" w:hint="default"/>
      </w:rPr>
    </w:lvl>
    <w:lvl w:ilvl="4" w:tplc="08090003" w:tentative="1">
      <w:start w:val="1"/>
      <w:numFmt w:val="bullet"/>
      <w:lvlText w:val="o"/>
      <w:lvlJc w:val="left"/>
      <w:pPr>
        <w:ind w:left="4524" w:hanging="360"/>
      </w:pPr>
      <w:rPr>
        <w:rFonts w:ascii="Courier New" w:hAnsi="Courier New" w:cs="Courier New" w:hint="default"/>
      </w:rPr>
    </w:lvl>
    <w:lvl w:ilvl="5" w:tplc="08090005" w:tentative="1">
      <w:start w:val="1"/>
      <w:numFmt w:val="bullet"/>
      <w:lvlText w:val=""/>
      <w:lvlJc w:val="left"/>
      <w:pPr>
        <w:ind w:left="5244" w:hanging="360"/>
      </w:pPr>
      <w:rPr>
        <w:rFonts w:ascii="Wingdings" w:hAnsi="Wingdings" w:hint="default"/>
      </w:rPr>
    </w:lvl>
    <w:lvl w:ilvl="6" w:tplc="08090001" w:tentative="1">
      <w:start w:val="1"/>
      <w:numFmt w:val="bullet"/>
      <w:lvlText w:val=""/>
      <w:lvlJc w:val="left"/>
      <w:pPr>
        <w:ind w:left="5964" w:hanging="360"/>
      </w:pPr>
      <w:rPr>
        <w:rFonts w:ascii="Symbol" w:hAnsi="Symbol" w:hint="default"/>
      </w:rPr>
    </w:lvl>
    <w:lvl w:ilvl="7" w:tplc="08090003" w:tentative="1">
      <w:start w:val="1"/>
      <w:numFmt w:val="bullet"/>
      <w:lvlText w:val="o"/>
      <w:lvlJc w:val="left"/>
      <w:pPr>
        <w:ind w:left="6684" w:hanging="360"/>
      </w:pPr>
      <w:rPr>
        <w:rFonts w:ascii="Courier New" w:hAnsi="Courier New" w:cs="Courier New" w:hint="default"/>
      </w:rPr>
    </w:lvl>
    <w:lvl w:ilvl="8" w:tplc="08090005" w:tentative="1">
      <w:start w:val="1"/>
      <w:numFmt w:val="bullet"/>
      <w:lvlText w:val=""/>
      <w:lvlJc w:val="left"/>
      <w:pPr>
        <w:ind w:left="7404" w:hanging="360"/>
      </w:pPr>
      <w:rPr>
        <w:rFonts w:ascii="Wingdings" w:hAnsi="Wingdings" w:hint="default"/>
      </w:rPr>
    </w:lvl>
  </w:abstractNum>
  <w:abstractNum w:abstractNumId="11" w15:restartNumberingAfterBreak="0">
    <w:nsid w:val="2A147A3C"/>
    <w:multiLevelType w:val="hybridMultilevel"/>
    <w:tmpl w:val="2C24C8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3C67542"/>
    <w:multiLevelType w:val="hybridMultilevel"/>
    <w:tmpl w:val="573606F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3" w15:restartNumberingAfterBreak="0">
    <w:nsid w:val="386B106F"/>
    <w:multiLevelType w:val="multilevel"/>
    <w:tmpl w:val="7456997C"/>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0F70EF0"/>
    <w:multiLevelType w:val="hybridMultilevel"/>
    <w:tmpl w:val="63FAD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726D0"/>
    <w:multiLevelType w:val="hybridMultilevel"/>
    <w:tmpl w:val="52947B6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9656EDE"/>
    <w:multiLevelType w:val="hybridMultilevel"/>
    <w:tmpl w:val="133C6C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F065480"/>
    <w:multiLevelType w:val="hybridMultilevel"/>
    <w:tmpl w:val="E06C1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B7207E"/>
    <w:multiLevelType w:val="hybridMultilevel"/>
    <w:tmpl w:val="90988D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B882E83"/>
    <w:multiLevelType w:val="multilevel"/>
    <w:tmpl w:val="05A4C518"/>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0FB163B"/>
    <w:multiLevelType w:val="hybridMultilevel"/>
    <w:tmpl w:val="FD322D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75711BF"/>
    <w:multiLevelType w:val="hybridMultilevel"/>
    <w:tmpl w:val="BBA4071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2" w15:restartNumberingAfterBreak="0">
    <w:nsid w:val="7C20207E"/>
    <w:multiLevelType w:val="hybridMultilevel"/>
    <w:tmpl w:val="804C4F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5"/>
  </w:num>
  <w:num w:numId="2">
    <w:abstractNumId w:val="12"/>
  </w:num>
  <w:num w:numId="3">
    <w:abstractNumId w:val="13"/>
  </w:num>
  <w:num w:numId="4">
    <w:abstractNumId w:val="1"/>
  </w:num>
  <w:num w:numId="5">
    <w:abstractNumId w:val="6"/>
  </w:num>
  <w:num w:numId="6">
    <w:abstractNumId w:val="16"/>
  </w:num>
  <w:num w:numId="7">
    <w:abstractNumId w:val="9"/>
  </w:num>
  <w:num w:numId="8">
    <w:abstractNumId w:val="21"/>
  </w:num>
  <w:num w:numId="9">
    <w:abstractNumId w:val="19"/>
  </w:num>
  <w:num w:numId="10">
    <w:abstractNumId w:val="20"/>
  </w:num>
  <w:num w:numId="11">
    <w:abstractNumId w:val="22"/>
  </w:num>
  <w:num w:numId="12">
    <w:abstractNumId w:val="18"/>
  </w:num>
  <w:num w:numId="13">
    <w:abstractNumId w:val="8"/>
  </w:num>
  <w:num w:numId="14">
    <w:abstractNumId w:val="2"/>
  </w:num>
  <w:num w:numId="15">
    <w:abstractNumId w:val="0"/>
  </w:num>
  <w:num w:numId="16">
    <w:abstractNumId w:val="0"/>
  </w:num>
  <w:num w:numId="17">
    <w:abstractNumId w:val="5"/>
  </w:num>
  <w:num w:numId="18">
    <w:abstractNumId w:val="7"/>
  </w:num>
  <w:num w:numId="19">
    <w:abstractNumId w:val="4"/>
  </w:num>
  <w:num w:numId="20">
    <w:abstractNumId w:val="14"/>
  </w:num>
  <w:num w:numId="21">
    <w:abstractNumId w:val="3"/>
  </w:num>
  <w:num w:numId="22">
    <w:abstractNumId w:val="10"/>
  </w:num>
  <w:num w:numId="23">
    <w:abstractNumId w:val="11"/>
  </w:num>
  <w:num w:numId="24">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2D"/>
    <w:rsid w:val="00003F2C"/>
    <w:rsid w:val="0000561D"/>
    <w:rsid w:val="00011A27"/>
    <w:rsid w:val="00013152"/>
    <w:rsid w:val="00017FE8"/>
    <w:rsid w:val="00023BF7"/>
    <w:rsid w:val="00027951"/>
    <w:rsid w:val="00033738"/>
    <w:rsid w:val="00035D81"/>
    <w:rsid w:val="0003627D"/>
    <w:rsid w:val="00040CFD"/>
    <w:rsid w:val="00040F28"/>
    <w:rsid w:val="0004128B"/>
    <w:rsid w:val="00043A18"/>
    <w:rsid w:val="000509C6"/>
    <w:rsid w:val="000516F8"/>
    <w:rsid w:val="0005757A"/>
    <w:rsid w:val="00062B38"/>
    <w:rsid w:val="00063BC8"/>
    <w:rsid w:val="00064854"/>
    <w:rsid w:val="000663C2"/>
    <w:rsid w:val="00067035"/>
    <w:rsid w:val="00070530"/>
    <w:rsid w:val="00076B6F"/>
    <w:rsid w:val="00076F2C"/>
    <w:rsid w:val="0007723A"/>
    <w:rsid w:val="0008076B"/>
    <w:rsid w:val="0008640A"/>
    <w:rsid w:val="000944AE"/>
    <w:rsid w:val="000A0439"/>
    <w:rsid w:val="000A1700"/>
    <w:rsid w:val="000A1EF7"/>
    <w:rsid w:val="000A4F6D"/>
    <w:rsid w:val="000A650E"/>
    <w:rsid w:val="000B0156"/>
    <w:rsid w:val="000B5DE4"/>
    <w:rsid w:val="000B6F7B"/>
    <w:rsid w:val="000B7910"/>
    <w:rsid w:val="000C1AE9"/>
    <w:rsid w:val="000C2BAD"/>
    <w:rsid w:val="000C318A"/>
    <w:rsid w:val="000C31BB"/>
    <w:rsid w:val="000C3877"/>
    <w:rsid w:val="000C4465"/>
    <w:rsid w:val="000D3546"/>
    <w:rsid w:val="000D360A"/>
    <w:rsid w:val="000E5CA2"/>
    <w:rsid w:val="000F2E65"/>
    <w:rsid w:val="000F3528"/>
    <w:rsid w:val="000F59CD"/>
    <w:rsid w:val="0010275E"/>
    <w:rsid w:val="0010476A"/>
    <w:rsid w:val="00113097"/>
    <w:rsid w:val="00113C19"/>
    <w:rsid w:val="0011517E"/>
    <w:rsid w:val="001237B4"/>
    <w:rsid w:val="00123F7E"/>
    <w:rsid w:val="00133E74"/>
    <w:rsid w:val="001408BD"/>
    <w:rsid w:val="001454CE"/>
    <w:rsid w:val="00145B55"/>
    <w:rsid w:val="001460B3"/>
    <w:rsid w:val="001466E9"/>
    <w:rsid w:val="001472BD"/>
    <w:rsid w:val="001475B9"/>
    <w:rsid w:val="001476A4"/>
    <w:rsid w:val="0015046E"/>
    <w:rsid w:val="00160F86"/>
    <w:rsid w:val="0016386F"/>
    <w:rsid w:val="00163A58"/>
    <w:rsid w:val="00166426"/>
    <w:rsid w:val="00174907"/>
    <w:rsid w:val="00174D22"/>
    <w:rsid w:val="001773BA"/>
    <w:rsid w:val="001830EB"/>
    <w:rsid w:val="00192224"/>
    <w:rsid w:val="00193FAE"/>
    <w:rsid w:val="0019715E"/>
    <w:rsid w:val="001A06A7"/>
    <w:rsid w:val="001A2264"/>
    <w:rsid w:val="001A300C"/>
    <w:rsid w:val="001A3106"/>
    <w:rsid w:val="001A749F"/>
    <w:rsid w:val="001B17AE"/>
    <w:rsid w:val="001B17EE"/>
    <w:rsid w:val="001B299A"/>
    <w:rsid w:val="001B583C"/>
    <w:rsid w:val="001B786A"/>
    <w:rsid w:val="001C0A34"/>
    <w:rsid w:val="001C1898"/>
    <w:rsid w:val="001C25E9"/>
    <w:rsid w:val="001C5DAB"/>
    <w:rsid w:val="001C6F8F"/>
    <w:rsid w:val="001D09DD"/>
    <w:rsid w:val="001D2F5C"/>
    <w:rsid w:val="001D730A"/>
    <w:rsid w:val="001E0BED"/>
    <w:rsid w:val="001E2CC6"/>
    <w:rsid w:val="001E499B"/>
    <w:rsid w:val="001E639B"/>
    <w:rsid w:val="001F0976"/>
    <w:rsid w:val="001F46DB"/>
    <w:rsid w:val="001F5BFB"/>
    <w:rsid w:val="001F6E07"/>
    <w:rsid w:val="001F74CE"/>
    <w:rsid w:val="00201886"/>
    <w:rsid w:val="002025D7"/>
    <w:rsid w:val="00206C7C"/>
    <w:rsid w:val="00211658"/>
    <w:rsid w:val="00216C29"/>
    <w:rsid w:val="00220489"/>
    <w:rsid w:val="00220740"/>
    <w:rsid w:val="00220B17"/>
    <w:rsid w:val="0022518C"/>
    <w:rsid w:val="00227B39"/>
    <w:rsid w:val="00230791"/>
    <w:rsid w:val="00231750"/>
    <w:rsid w:val="002318EF"/>
    <w:rsid w:val="00234903"/>
    <w:rsid w:val="00235222"/>
    <w:rsid w:val="00235323"/>
    <w:rsid w:val="00237182"/>
    <w:rsid w:val="00242E44"/>
    <w:rsid w:val="002468D7"/>
    <w:rsid w:val="00250BE0"/>
    <w:rsid w:val="00250DA3"/>
    <w:rsid w:val="00252D3C"/>
    <w:rsid w:val="00254C9C"/>
    <w:rsid w:val="002626F2"/>
    <w:rsid w:val="002633A1"/>
    <w:rsid w:val="0026509A"/>
    <w:rsid w:val="00270CF8"/>
    <w:rsid w:val="002723E9"/>
    <w:rsid w:val="00272EFB"/>
    <w:rsid w:val="0027404B"/>
    <w:rsid w:val="00282556"/>
    <w:rsid w:val="002842A4"/>
    <w:rsid w:val="00284D04"/>
    <w:rsid w:val="002865DA"/>
    <w:rsid w:val="0028731A"/>
    <w:rsid w:val="00296914"/>
    <w:rsid w:val="002A008D"/>
    <w:rsid w:val="002A1967"/>
    <w:rsid w:val="002B044C"/>
    <w:rsid w:val="002B5906"/>
    <w:rsid w:val="002B5C67"/>
    <w:rsid w:val="002B78E2"/>
    <w:rsid w:val="002C3427"/>
    <w:rsid w:val="002C6222"/>
    <w:rsid w:val="002C7DE4"/>
    <w:rsid w:val="002D48BB"/>
    <w:rsid w:val="002E0F23"/>
    <w:rsid w:val="002E2DD8"/>
    <w:rsid w:val="002E35C8"/>
    <w:rsid w:val="002E7829"/>
    <w:rsid w:val="002F4F04"/>
    <w:rsid w:val="00300FA2"/>
    <w:rsid w:val="00303C65"/>
    <w:rsid w:val="00312648"/>
    <w:rsid w:val="003166C2"/>
    <w:rsid w:val="00317F94"/>
    <w:rsid w:val="003232E2"/>
    <w:rsid w:val="00325C61"/>
    <w:rsid w:val="00327D27"/>
    <w:rsid w:val="003327AB"/>
    <w:rsid w:val="0033694B"/>
    <w:rsid w:val="00340234"/>
    <w:rsid w:val="00351F34"/>
    <w:rsid w:val="00352E71"/>
    <w:rsid w:val="003531CE"/>
    <w:rsid w:val="00353BE3"/>
    <w:rsid w:val="00353EBF"/>
    <w:rsid w:val="00354C07"/>
    <w:rsid w:val="003561E6"/>
    <w:rsid w:val="003640FF"/>
    <w:rsid w:val="00367471"/>
    <w:rsid w:val="003716B9"/>
    <w:rsid w:val="0037396B"/>
    <w:rsid w:val="00381A89"/>
    <w:rsid w:val="00382520"/>
    <w:rsid w:val="003841CD"/>
    <w:rsid w:val="00387583"/>
    <w:rsid w:val="00393F09"/>
    <w:rsid w:val="003A255A"/>
    <w:rsid w:val="003A5E4A"/>
    <w:rsid w:val="003A6F0E"/>
    <w:rsid w:val="003A7037"/>
    <w:rsid w:val="003C132E"/>
    <w:rsid w:val="003C5B75"/>
    <w:rsid w:val="003D1A13"/>
    <w:rsid w:val="003D57D4"/>
    <w:rsid w:val="003D7BAB"/>
    <w:rsid w:val="003E1E66"/>
    <w:rsid w:val="003E51C8"/>
    <w:rsid w:val="003E7BBE"/>
    <w:rsid w:val="003F39F6"/>
    <w:rsid w:val="003F4638"/>
    <w:rsid w:val="003F56AD"/>
    <w:rsid w:val="003F5C0D"/>
    <w:rsid w:val="003F7D79"/>
    <w:rsid w:val="0041049B"/>
    <w:rsid w:val="00412DC8"/>
    <w:rsid w:val="00413440"/>
    <w:rsid w:val="004145A9"/>
    <w:rsid w:val="0041464A"/>
    <w:rsid w:val="004220A3"/>
    <w:rsid w:val="00423B1E"/>
    <w:rsid w:val="004241AD"/>
    <w:rsid w:val="00430FE6"/>
    <w:rsid w:val="0043170A"/>
    <w:rsid w:val="00431EDA"/>
    <w:rsid w:val="00435514"/>
    <w:rsid w:val="00435BDB"/>
    <w:rsid w:val="0044020F"/>
    <w:rsid w:val="0044021B"/>
    <w:rsid w:val="004402DA"/>
    <w:rsid w:val="0044141B"/>
    <w:rsid w:val="00445FA9"/>
    <w:rsid w:val="004502E4"/>
    <w:rsid w:val="00451931"/>
    <w:rsid w:val="004527A6"/>
    <w:rsid w:val="00452DE6"/>
    <w:rsid w:val="00453605"/>
    <w:rsid w:val="00457428"/>
    <w:rsid w:val="00466CAB"/>
    <w:rsid w:val="00471E24"/>
    <w:rsid w:val="0047221D"/>
    <w:rsid w:val="0047464A"/>
    <w:rsid w:val="00476651"/>
    <w:rsid w:val="004807FB"/>
    <w:rsid w:val="00484679"/>
    <w:rsid w:val="0049004B"/>
    <w:rsid w:val="00490CB6"/>
    <w:rsid w:val="00493BFE"/>
    <w:rsid w:val="004941B6"/>
    <w:rsid w:val="00495D31"/>
    <w:rsid w:val="004A05BD"/>
    <w:rsid w:val="004A53C4"/>
    <w:rsid w:val="004A73FE"/>
    <w:rsid w:val="004A7FAC"/>
    <w:rsid w:val="004B0322"/>
    <w:rsid w:val="004B1AC0"/>
    <w:rsid w:val="004B3F0B"/>
    <w:rsid w:val="004B3F25"/>
    <w:rsid w:val="004B6076"/>
    <w:rsid w:val="004C0870"/>
    <w:rsid w:val="004C1A94"/>
    <w:rsid w:val="004C2451"/>
    <w:rsid w:val="004C2574"/>
    <w:rsid w:val="004C378F"/>
    <w:rsid w:val="004D023C"/>
    <w:rsid w:val="004D1BE2"/>
    <w:rsid w:val="004D371D"/>
    <w:rsid w:val="004D4345"/>
    <w:rsid w:val="004D4A6B"/>
    <w:rsid w:val="004D6013"/>
    <w:rsid w:val="004E4936"/>
    <w:rsid w:val="004E5139"/>
    <w:rsid w:val="004E6734"/>
    <w:rsid w:val="004F2EF1"/>
    <w:rsid w:val="004F37AC"/>
    <w:rsid w:val="004F3979"/>
    <w:rsid w:val="004F3BE6"/>
    <w:rsid w:val="004F41A4"/>
    <w:rsid w:val="004F4223"/>
    <w:rsid w:val="004F5C1D"/>
    <w:rsid w:val="004F6C10"/>
    <w:rsid w:val="00500CAF"/>
    <w:rsid w:val="00502509"/>
    <w:rsid w:val="00503109"/>
    <w:rsid w:val="0050478A"/>
    <w:rsid w:val="005047C8"/>
    <w:rsid w:val="00507541"/>
    <w:rsid w:val="00512CAD"/>
    <w:rsid w:val="00523537"/>
    <w:rsid w:val="0052387F"/>
    <w:rsid w:val="005249E5"/>
    <w:rsid w:val="00527711"/>
    <w:rsid w:val="00530080"/>
    <w:rsid w:val="005301A9"/>
    <w:rsid w:val="00545DC4"/>
    <w:rsid w:val="00546B8B"/>
    <w:rsid w:val="00552A1E"/>
    <w:rsid w:val="00552A75"/>
    <w:rsid w:val="0055442E"/>
    <w:rsid w:val="00556667"/>
    <w:rsid w:val="00557AEE"/>
    <w:rsid w:val="00557BD9"/>
    <w:rsid w:val="00563B76"/>
    <w:rsid w:val="00564C32"/>
    <w:rsid w:val="005671E3"/>
    <w:rsid w:val="00567A34"/>
    <w:rsid w:val="00571CD7"/>
    <w:rsid w:val="00574F36"/>
    <w:rsid w:val="00592327"/>
    <w:rsid w:val="005938C8"/>
    <w:rsid w:val="00593F41"/>
    <w:rsid w:val="00595B61"/>
    <w:rsid w:val="0059761C"/>
    <w:rsid w:val="005A0BD1"/>
    <w:rsid w:val="005A0F18"/>
    <w:rsid w:val="005A14A3"/>
    <w:rsid w:val="005A6256"/>
    <w:rsid w:val="005B03EC"/>
    <w:rsid w:val="005C06FB"/>
    <w:rsid w:val="005C218E"/>
    <w:rsid w:val="005C3DE5"/>
    <w:rsid w:val="005D3EC2"/>
    <w:rsid w:val="005D5A2C"/>
    <w:rsid w:val="005D5D60"/>
    <w:rsid w:val="005E2C50"/>
    <w:rsid w:val="005E53E6"/>
    <w:rsid w:val="005E55D5"/>
    <w:rsid w:val="005F0021"/>
    <w:rsid w:val="005F2725"/>
    <w:rsid w:val="005F3D23"/>
    <w:rsid w:val="005F7A1E"/>
    <w:rsid w:val="006006A3"/>
    <w:rsid w:val="00603027"/>
    <w:rsid w:val="0061425E"/>
    <w:rsid w:val="00617DF2"/>
    <w:rsid w:val="0063213F"/>
    <w:rsid w:val="00633748"/>
    <w:rsid w:val="006339E9"/>
    <w:rsid w:val="00635D2E"/>
    <w:rsid w:val="00635D30"/>
    <w:rsid w:val="00636ED9"/>
    <w:rsid w:val="00640A68"/>
    <w:rsid w:val="00641445"/>
    <w:rsid w:val="006440ED"/>
    <w:rsid w:val="00646A8A"/>
    <w:rsid w:val="00646E29"/>
    <w:rsid w:val="00650383"/>
    <w:rsid w:val="006506D2"/>
    <w:rsid w:val="00651C5E"/>
    <w:rsid w:val="006542D2"/>
    <w:rsid w:val="00654E53"/>
    <w:rsid w:val="00656A53"/>
    <w:rsid w:val="006574F8"/>
    <w:rsid w:val="00660C19"/>
    <w:rsid w:val="00665B42"/>
    <w:rsid w:val="00667683"/>
    <w:rsid w:val="00667851"/>
    <w:rsid w:val="0066792A"/>
    <w:rsid w:val="00667A3E"/>
    <w:rsid w:val="006700C5"/>
    <w:rsid w:val="006715EF"/>
    <w:rsid w:val="00674711"/>
    <w:rsid w:val="00685142"/>
    <w:rsid w:val="00686783"/>
    <w:rsid w:val="00694195"/>
    <w:rsid w:val="006977BA"/>
    <w:rsid w:val="006A00DD"/>
    <w:rsid w:val="006A26B9"/>
    <w:rsid w:val="006A26DB"/>
    <w:rsid w:val="006A2DB9"/>
    <w:rsid w:val="006A38FF"/>
    <w:rsid w:val="006A4FE6"/>
    <w:rsid w:val="006A6204"/>
    <w:rsid w:val="006A6A58"/>
    <w:rsid w:val="006B01C0"/>
    <w:rsid w:val="006B0B65"/>
    <w:rsid w:val="006B3DD1"/>
    <w:rsid w:val="006C01EF"/>
    <w:rsid w:val="006C1CC2"/>
    <w:rsid w:val="006C7CA8"/>
    <w:rsid w:val="006D0741"/>
    <w:rsid w:val="006D0DCA"/>
    <w:rsid w:val="006D6333"/>
    <w:rsid w:val="006E554F"/>
    <w:rsid w:val="006E6DD1"/>
    <w:rsid w:val="006F61F8"/>
    <w:rsid w:val="006F6EE5"/>
    <w:rsid w:val="006F7DD9"/>
    <w:rsid w:val="00702C7C"/>
    <w:rsid w:val="0070418F"/>
    <w:rsid w:val="00704C32"/>
    <w:rsid w:val="007058AD"/>
    <w:rsid w:val="00710485"/>
    <w:rsid w:val="007114B2"/>
    <w:rsid w:val="00711525"/>
    <w:rsid w:val="00711B48"/>
    <w:rsid w:val="007133F5"/>
    <w:rsid w:val="00715B20"/>
    <w:rsid w:val="00716F9F"/>
    <w:rsid w:val="0072551B"/>
    <w:rsid w:val="00734F73"/>
    <w:rsid w:val="00735A2A"/>
    <w:rsid w:val="00745197"/>
    <w:rsid w:val="00745854"/>
    <w:rsid w:val="00747658"/>
    <w:rsid w:val="0074788B"/>
    <w:rsid w:val="007528D1"/>
    <w:rsid w:val="0075298F"/>
    <w:rsid w:val="00752B8B"/>
    <w:rsid w:val="00752FE8"/>
    <w:rsid w:val="007538A5"/>
    <w:rsid w:val="0076050C"/>
    <w:rsid w:val="007615AA"/>
    <w:rsid w:val="007723EF"/>
    <w:rsid w:val="00773AEF"/>
    <w:rsid w:val="00775D14"/>
    <w:rsid w:val="00776324"/>
    <w:rsid w:val="00777E44"/>
    <w:rsid w:val="0078070E"/>
    <w:rsid w:val="0078211E"/>
    <w:rsid w:val="00783094"/>
    <w:rsid w:val="0079084A"/>
    <w:rsid w:val="00793413"/>
    <w:rsid w:val="00793D57"/>
    <w:rsid w:val="00794D0A"/>
    <w:rsid w:val="0079684F"/>
    <w:rsid w:val="007974F0"/>
    <w:rsid w:val="0079797C"/>
    <w:rsid w:val="007A09C6"/>
    <w:rsid w:val="007A4790"/>
    <w:rsid w:val="007A5611"/>
    <w:rsid w:val="007A6427"/>
    <w:rsid w:val="007A674C"/>
    <w:rsid w:val="007B126F"/>
    <w:rsid w:val="007B498E"/>
    <w:rsid w:val="007B685A"/>
    <w:rsid w:val="007B7E72"/>
    <w:rsid w:val="007C0B65"/>
    <w:rsid w:val="007C15A9"/>
    <w:rsid w:val="007C29D8"/>
    <w:rsid w:val="007C2C2C"/>
    <w:rsid w:val="007C4022"/>
    <w:rsid w:val="007D1182"/>
    <w:rsid w:val="007D1AA6"/>
    <w:rsid w:val="007D26EB"/>
    <w:rsid w:val="007D3102"/>
    <w:rsid w:val="007D4790"/>
    <w:rsid w:val="007D51DB"/>
    <w:rsid w:val="007D5323"/>
    <w:rsid w:val="007D61D6"/>
    <w:rsid w:val="007E2F54"/>
    <w:rsid w:val="007F0A8F"/>
    <w:rsid w:val="007F0B4F"/>
    <w:rsid w:val="007F2BE9"/>
    <w:rsid w:val="007F3692"/>
    <w:rsid w:val="007F552C"/>
    <w:rsid w:val="007F5596"/>
    <w:rsid w:val="007F56B1"/>
    <w:rsid w:val="007F6B64"/>
    <w:rsid w:val="007F7981"/>
    <w:rsid w:val="00800225"/>
    <w:rsid w:val="00811783"/>
    <w:rsid w:val="0081460C"/>
    <w:rsid w:val="008166F3"/>
    <w:rsid w:val="00816C32"/>
    <w:rsid w:val="00817A97"/>
    <w:rsid w:val="00817F5C"/>
    <w:rsid w:val="00824A7F"/>
    <w:rsid w:val="00831C07"/>
    <w:rsid w:val="00832EFC"/>
    <w:rsid w:val="00833062"/>
    <w:rsid w:val="00834843"/>
    <w:rsid w:val="00836952"/>
    <w:rsid w:val="008370C4"/>
    <w:rsid w:val="0084097E"/>
    <w:rsid w:val="008414D5"/>
    <w:rsid w:val="00841B07"/>
    <w:rsid w:val="00841D96"/>
    <w:rsid w:val="00843053"/>
    <w:rsid w:val="008473DE"/>
    <w:rsid w:val="00850286"/>
    <w:rsid w:val="00852593"/>
    <w:rsid w:val="00863430"/>
    <w:rsid w:val="00866502"/>
    <w:rsid w:val="00872F18"/>
    <w:rsid w:val="00874F0D"/>
    <w:rsid w:val="00880790"/>
    <w:rsid w:val="0088245F"/>
    <w:rsid w:val="00885F1B"/>
    <w:rsid w:val="00886C22"/>
    <w:rsid w:val="00886C95"/>
    <w:rsid w:val="0089394F"/>
    <w:rsid w:val="008A1591"/>
    <w:rsid w:val="008A5BE9"/>
    <w:rsid w:val="008A716A"/>
    <w:rsid w:val="008B3A7F"/>
    <w:rsid w:val="008B49E0"/>
    <w:rsid w:val="008C28DD"/>
    <w:rsid w:val="008C308F"/>
    <w:rsid w:val="008C3F3E"/>
    <w:rsid w:val="008D3DA5"/>
    <w:rsid w:val="008D42C8"/>
    <w:rsid w:val="008E464E"/>
    <w:rsid w:val="008E7153"/>
    <w:rsid w:val="008E757D"/>
    <w:rsid w:val="008F22E3"/>
    <w:rsid w:val="008F2CAB"/>
    <w:rsid w:val="008F4244"/>
    <w:rsid w:val="0090281D"/>
    <w:rsid w:val="00903C4A"/>
    <w:rsid w:val="00915059"/>
    <w:rsid w:val="00916F0F"/>
    <w:rsid w:val="00917040"/>
    <w:rsid w:val="00921120"/>
    <w:rsid w:val="00923370"/>
    <w:rsid w:val="00923781"/>
    <w:rsid w:val="00925B89"/>
    <w:rsid w:val="00925FE8"/>
    <w:rsid w:val="00934D7A"/>
    <w:rsid w:val="00936FDF"/>
    <w:rsid w:val="00937D2D"/>
    <w:rsid w:val="0094128F"/>
    <w:rsid w:val="00942BA7"/>
    <w:rsid w:val="009434A3"/>
    <w:rsid w:val="00945A25"/>
    <w:rsid w:val="00947444"/>
    <w:rsid w:val="00951309"/>
    <w:rsid w:val="00951A9F"/>
    <w:rsid w:val="009613F4"/>
    <w:rsid w:val="00961B92"/>
    <w:rsid w:val="00963F4E"/>
    <w:rsid w:val="00966239"/>
    <w:rsid w:val="009666B0"/>
    <w:rsid w:val="00971264"/>
    <w:rsid w:val="00972414"/>
    <w:rsid w:val="00973E7D"/>
    <w:rsid w:val="0097474F"/>
    <w:rsid w:val="0098023C"/>
    <w:rsid w:val="00981E4C"/>
    <w:rsid w:val="009834A1"/>
    <w:rsid w:val="00984389"/>
    <w:rsid w:val="009848A7"/>
    <w:rsid w:val="0098671A"/>
    <w:rsid w:val="00987003"/>
    <w:rsid w:val="009900FE"/>
    <w:rsid w:val="00993FC4"/>
    <w:rsid w:val="00997609"/>
    <w:rsid w:val="009A167D"/>
    <w:rsid w:val="009B051D"/>
    <w:rsid w:val="009B2053"/>
    <w:rsid w:val="009C3341"/>
    <w:rsid w:val="009C4999"/>
    <w:rsid w:val="009D54C1"/>
    <w:rsid w:val="009E0666"/>
    <w:rsid w:val="009E06CD"/>
    <w:rsid w:val="009E41D7"/>
    <w:rsid w:val="009E510A"/>
    <w:rsid w:val="009E5E91"/>
    <w:rsid w:val="009F1880"/>
    <w:rsid w:val="009F47AD"/>
    <w:rsid w:val="009F5737"/>
    <w:rsid w:val="009F6578"/>
    <w:rsid w:val="00A00AD2"/>
    <w:rsid w:val="00A010EF"/>
    <w:rsid w:val="00A0112D"/>
    <w:rsid w:val="00A01F94"/>
    <w:rsid w:val="00A0219F"/>
    <w:rsid w:val="00A06260"/>
    <w:rsid w:val="00A14D7B"/>
    <w:rsid w:val="00A24144"/>
    <w:rsid w:val="00A27B1B"/>
    <w:rsid w:val="00A301C7"/>
    <w:rsid w:val="00A32660"/>
    <w:rsid w:val="00A32A5D"/>
    <w:rsid w:val="00A334D0"/>
    <w:rsid w:val="00A338C6"/>
    <w:rsid w:val="00A33C0F"/>
    <w:rsid w:val="00A34CE5"/>
    <w:rsid w:val="00A46921"/>
    <w:rsid w:val="00A52945"/>
    <w:rsid w:val="00A555F3"/>
    <w:rsid w:val="00A5700D"/>
    <w:rsid w:val="00A62B93"/>
    <w:rsid w:val="00A668DA"/>
    <w:rsid w:val="00A71885"/>
    <w:rsid w:val="00A74CAE"/>
    <w:rsid w:val="00A76996"/>
    <w:rsid w:val="00A877B5"/>
    <w:rsid w:val="00A879E9"/>
    <w:rsid w:val="00A91889"/>
    <w:rsid w:val="00A95CBE"/>
    <w:rsid w:val="00AA01EA"/>
    <w:rsid w:val="00AA3015"/>
    <w:rsid w:val="00AA691D"/>
    <w:rsid w:val="00AA7023"/>
    <w:rsid w:val="00AB4BEF"/>
    <w:rsid w:val="00AB6ADD"/>
    <w:rsid w:val="00AC3C02"/>
    <w:rsid w:val="00AC476E"/>
    <w:rsid w:val="00AC537E"/>
    <w:rsid w:val="00AC54B7"/>
    <w:rsid w:val="00AC72C5"/>
    <w:rsid w:val="00AD5530"/>
    <w:rsid w:val="00AD6B37"/>
    <w:rsid w:val="00AE1133"/>
    <w:rsid w:val="00AE5B4D"/>
    <w:rsid w:val="00AF6C0C"/>
    <w:rsid w:val="00B00DE1"/>
    <w:rsid w:val="00B015D8"/>
    <w:rsid w:val="00B03207"/>
    <w:rsid w:val="00B0390D"/>
    <w:rsid w:val="00B04CF0"/>
    <w:rsid w:val="00B05365"/>
    <w:rsid w:val="00B10DCC"/>
    <w:rsid w:val="00B11C41"/>
    <w:rsid w:val="00B126CB"/>
    <w:rsid w:val="00B13F0A"/>
    <w:rsid w:val="00B1464E"/>
    <w:rsid w:val="00B14AF3"/>
    <w:rsid w:val="00B15748"/>
    <w:rsid w:val="00B15B51"/>
    <w:rsid w:val="00B16FC4"/>
    <w:rsid w:val="00B17992"/>
    <w:rsid w:val="00B21756"/>
    <w:rsid w:val="00B24CB4"/>
    <w:rsid w:val="00B313C9"/>
    <w:rsid w:val="00B344EA"/>
    <w:rsid w:val="00B34E73"/>
    <w:rsid w:val="00B3590F"/>
    <w:rsid w:val="00B36B9C"/>
    <w:rsid w:val="00B36DE1"/>
    <w:rsid w:val="00B376D8"/>
    <w:rsid w:val="00B45E43"/>
    <w:rsid w:val="00B478C3"/>
    <w:rsid w:val="00B52261"/>
    <w:rsid w:val="00B53BF0"/>
    <w:rsid w:val="00B57279"/>
    <w:rsid w:val="00B57CAE"/>
    <w:rsid w:val="00B63702"/>
    <w:rsid w:val="00B643A0"/>
    <w:rsid w:val="00B70EA9"/>
    <w:rsid w:val="00B72DCD"/>
    <w:rsid w:val="00B76EE2"/>
    <w:rsid w:val="00B77174"/>
    <w:rsid w:val="00B774AA"/>
    <w:rsid w:val="00B77552"/>
    <w:rsid w:val="00B775F3"/>
    <w:rsid w:val="00B80015"/>
    <w:rsid w:val="00B8332B"/>
    <w:rsid w:val="00B876FF"/>
    <w:rsid w:val="00B91517"/>
    <w:rsid w:val="00B95443"/>
    <w:rsid w:val="00B96DDA"/>
    <w:rsid w:val="00BA139C"/>
    <w:rsid w:val="00BA256A"/>
    <w:rsid w:val="00BA53D9"/>
    <w:rsid w:val="00BA67F8"/>
    <w:rsid w:val="00BB26A2"/>
    <w:rsid w:val="00BB4478"/>
    <w:rsid w:val="00BB6210"/>
    <w:rsid w:val="00BC18DC"/>
    <w:rsid w:val="00BC784C"/>
    <w:rsid w:val="00BC7CBA"/>
    <w:rsid w:val="00BD11C9"/>
    <w:rsid w:val="00BD18DE"/>
    <w:rsid w:val="00BD1B08"/>
    <w:rsid w:val="00BD279E"/>
    <w:rsid w:val="00BD2EE4"/>
    <w:rsid w:val="00BD3867"/>
    <w:rsid w:val="00BE08D8"/>
    <w:rsid w:val="00BE1C4A"/>
    <w:rsid w:val="00BE4DA4"/>
    <w:rsid w:val="00BE7C22"/>
    <w:rsid w:val="00BF0922"/>
    <w:rsid w:val="00BF2540"/>
    <w:rsid w:val="00BF27BA"/>
    <w:rsid w:val="00BF381E"/>
    <w:rsid w:val="00BF63F5"/>
    <w:rsid w:val="00BF695E"/>
    <w:rsid w:val="00BF78F8"/>
    <w:rsid w:val="00C0067E"/>
    <w:rsid w:val="00C0158A"/>
    <w:rsid w:val="00C03575"/>
    <w:rsid w:val="00C04CA6"/>
    <w:rsid w:val="00C06794"/>
    <w:rsid w:val="00C119B6"/>
    <w:rsid w:val="00C128FD"/>
    <w:rsid w:val="00C14E3D"/>
    <w:rsid w:val="00C15A94"/>
    <w:rsid w:val="00C169B6"/>
    <w:rsid w:val="00C21FB1"/>
    <w:rsid w:val="00C23EA0"/>
    <w:rsid w:val="00C2489B"/>
    <w:rsid w:val="00C253BE"/>
    <w:rsid w:val="00C30240"/>
    <w:rsid w:val="00C33977"/>
    <w:rsid w:val="00C34FDE"/>
    <w:rsid w:val="00C37060"/>
    <w:rsid w:val="00C4191F"/>
    <w:rsid w:val="00C41D3C"/>
    <w:rsid w:val="00C46F6A"/>
    <w:rsid w:val="00C478FE"/>
    <w:rsid w:val="00C528CF"/>
    <w:rsid w:val="00C61828"/>
    <w:rsid w:val="00C63348"/>
    <w:rsid w:val="00C63821"/>
    <w:rsid w:val="00C73328"/>
    <w:rsid w:val="00C73C42"/>
    <w:rsid w:val="00C7633F"/>
    <w:rsid w:val="00C76BBA"/>
    <w:rsid w:val="00C869DB"/>
    <w:rsid w:val="00C91393"/>
    <w:rsid w:val="00C91D59"/>
    <w:rsid w:val="00C94EA8"/>
    <w:rsid w:val="00CA0635"/>
    <w:rsid w:val="00CA12A2"/>
    <w:rsid w:val="00CA2948"/>
    <w:rsid w:val="00CA6CB4"/>
    <w:rsid w:val="00CA77F0"/>
    <w:rsid w:val="00CB41A0"/>
    <w:rsid w:val="00CB4C63"/>
    <w:rsid w:val="00CB70D2"/>
    <w:rsid w:val="00CC0229"/>
    <w:rsid w:val="00CC0C41"/>
    <w:rsid w:val="00CC0CDF"/>
    <w:rsid w:val="00CC6668"/>
    <w:rsid w:val="00CD269E"/>
    <w:rsid w:val="00CD2C80"/>
    <w:rsid w:val="00CD5EBA"/>
    <w:rsid w:val="00CD72F1"/>
    <w:rsid w:val="00CD75FC"/>
    <w:rsid w:val="00CE064D"/>
    <w:rsid w:val="00CE2306"/>
    <w:rsid w:val="00CE4244"/>
    <w:rsid w:val="00CE49B3"/>
    <w:rsid w:val="00CE4AE0"/>
    <w:rsid w:val="00CF00A4"/>
    <w:rsid w:val="00CF0493"/>
    <w:rsid w:val="00CF3DE9"/>
    <w:rsid w:val="00CF4A19"/>
    <w:rsid w:val="00CF740F"/>
    <w:rsid w:val="00D01666"/>
    <w:rsid w:val="00D02730"/>
    <w:rsid w:val="00D11579"/>
    <w:rsid w:val="00D13F3F"/>
    <w:rsid w:val="00D2140C"/>
    <w:rsid w:val="00D243F9"/>
    <w:rsid w:val="00D2454D"/>
    <w:rsid w:val="00D25D76"/>
    <w:rsid w:val="00D31721"/>
    <w:rsid w:val="00D32595"/>
    <w:rsid w:val="00D356C5"/>
    <w:rsid w:val="00D360EB"/>
    <w:rsid w:val="00D367C7"/>
    <w:rsid w:val="00D45339"/>
    <w:rsid w:val="00D46063"/>
    <w:rsid w:val="00D510F0"/>
    <w:rsid w:val="00D53808"/>
    <w:rsid w:val="00D54AE4"/>
    <w:rsid w:val="00D60711"/>
    <w:rsid w:val="00D60F08"/>
    <w:rsid w:val="00D60FD5"/>
    <w:rsid w:val="00D64265"/>
    <w:rsid w:val="00D651EF"/>
    <w:rsid w:val="00D6623D"/>
    <w:rsid w:val="00D7259F"/>
    <w:rsid w:val="00D73B08"/>
    <w:rsid w:val="00D746F8"/>
    <w:rsid w:val="00D8460C"/>
    <w:rsid w:val="00D90807"/>
    <w:rsid w:val="00D92850"/>
    <w:rsid w:val="00DA0370"/>
    <w:rsid w:val="00DA1F5A"/>
    <w:rsid w:val="00DA38B5"/>
    <w:rsid w:val="00DA4F6A"/>
    <w:rsid w:val="00DB0B60"/>
    <w:rsid w:val="00DB53DD"/>
    <w:rsid w:val="00DB57E8"/>
    <w:rsid w:val="00DB5DA7"/>
    <w:rsid w:val="00DB6FDF"/>
    <w:rsid w:val="00DC096C"/>
    <w:rsid w:val="00DC1797"/>
    <w:rsid w:val="00DC5127"/>
    <w:rsid w:val="00DD15AC"/>
    <w:rsid w:val="00DD3432"/>
    <w:rsid w:val="00DD45FF"/>
    <w:rsid w:val="00DD4CF4"/>
    <w:rsid w:val="00DD54FA"/>
    <w:rsid w:val="00DD5C18"/>
    <w:rsid w:val="00DD62C2"/>
    <w:rsid w:val="00DD74F2"/>
    <w:rsid w:val="00DD79F2"/>
    <w:rsid w:val="00DD7C5D"/>
    <w:rsid w:val="00DE231A"/>
    <w:rsid w:val="00DE2CBD"/>
    <w:rsid w:val="00DE5A20"/>
    <w:rsid w:val="00DF0998"/>
    <w:rsid w:val="00DF10AB"/>
    <w:rsid w:val="00DF63A7"/>
    <w:rsid w:val="00DF75DC"/>
    <w:rsid w:val="00E00DF8"/>
    <w:rsid w:val="00E03ADA"/>
    <w:rsid w:val="00E03D57"/>
    <w:rsid w:val="00E056A1"/>
    <w:rsid w:val="00E05E24"/>
    <w:rsid w:val="00E06D64"/>
    <w:rsid w:val="00E11CBF"/>
    <w:rsid w:val="00E20AF7"/>
    <w:rsid w:val="00E258A0"/>
    <w:rsid w:val="00E26F09"/>
    <w:rsid w:val="00E2751E"/>
    <w:rsid w:val="00E27530"/>
    <w:rsid w:val="00E27EC1"/>
    <w:rsid w:val="00E31D15"/>
    <w:rsid w:val="00E31F06"/>
    <w:rsid w:val="00E32685"/>
    <w:rsid w:val="00E328E7"/>
    <w:rsid w:val="00E35F42"/>
    <w:rsid w:val="00E36D87"/>
    <w:rsid w:val="00E42070"/>
    <w:rsid w:val="00E438F1"/>
    <w:rsid w:val="00E57248"/>
    <w:rsid w:val="00E606A7"/>
    <w:rsid w:val="00E6397A"/>
    <w:rsid w:val="00E65263"/>
    <w:rsid w:val="00E65B1B"/>
    <w:rsid w:val="00E71B84"/>
    <w:rsid w:val="00E7254F"/>
    <w:rsid w:val="00E7465E"/>
    <w:rsid w:val="00E761A1"/>
    <w:rsid w:val="00E85B2D"/>
    <w:rsid w:val="00E865A0"/>
    <w:rsid w:val="00E903E7"/>
    <w:rsid w:val="00E90869"/>
    <w:rsid w:val="00E96E2B"/>
    <w:rsid w:val="00EA28E0"/>
    <w:rsid w:val="00EB50C9"/>
    <w:rsid w:val="00EB5284"/>
    <w:rsid w:val="00EB65A6"/>
    <w:rsid w:val="00EB7A28"/>
    <w:rsid w:val="00EC0449"/>
    <w:rsid w:val="00EC08C5"/>
    <w:rsid w:val="00EC1028"/>
    <w:rsid w:val="00EC2E69"/>
    <w:rsid w:val="00EC353E"/>
    <w:rsid w:val="00EC5856"/>
    <w:rsid w:val="00EC5F8E"/>
    <w:rsid w:val="00ED2465"/>
    <w:rsid w:val="00ED366F"/>
    <w:rsid w:val="00ED40F2"/>
    <w:rsid w:val="00ED4A10"/>
    <w:rsid w:val="00EE0564"/>
    <w:rsid w:val="00EE0717"/>
    <w:rsid w:val="00EE7068"/>
    <w:rsid w:val="00EF0199"/>
    <w:rsid w:val="00EF05EE"/>
    <w:rsid w:val="00EF5A18"/>
    <w:rsid w:val="00EF76FA"/>
    <w:rsid w:val="00F06487"/>
    <w:rsid w:val="00F06679"/>
    <w:rsid w:val="00F13737"/>
    <w:rsid w:val="00F17B8E"/>
    <w:rsid w:val="00F17F29"/>
    <w:rsid w:val="00F24118"/>
    <w:rsid w:val="00F25385"/>
    <w:rsid w:val="00F255DB"/>
    <w:rsid w:val="00F27ACA"/>
    <w:rsid w:val="00F40798"/>
    <w:rsid w:val="00F43CB5"/>
    <w:rsid w:val="00F4509C"/>
    <w:rsid w:val="00F46CEC"/>
    <w:rsid w:val="00F54113"/>
    <w:rsid w:val="00F54188"/>
    <w:rsid w:val="00F60E15"/>
    <w:rsid w:val="00F6235F"/>
    <w:rsid w:val="00F63967"/>
    <w:rsid w:val="00F65037"/>
    <w:rsid w:val="00F6760A"/>
    <w:rsid w:val="00F70909"/>
    <w:rsid w:val="00F71050"/>
    <w:rsid w:val="00F730E5"/>
    <w:rsid w:val="00F76AE5"/>
    <w:rsid w:val="00F77F6E"/>
    <w:rsid w:val="00F87D62"/>
    <w:rsid w:val="00F90898"/>
    <w:rsid w:val="00F92DFC"/>
    <w:rsid w:val="00F96280"/>
    <w:rsid w:val="00F968B8"/>
    <w:rsid w:val="00F96951"/>
    <w:rsid w:val="00F96AC1"/>
    <w:rsid w:val="00FA10E4"/>
    <w:rsid w:val="00FA1B00"/>
    <w:rsid w:val="00FA2A27"/>
    <w:rsid w:val="00FA2D97"/>
    <w:rsid w:val="00FA48F3"/>
    <w:rsid w:val="00FA6B54"/>
    <w:rsid w:val="00FB0006"/>
    <w:rsid w:val="00FB0B80"/>
    <w:rsid w:val="00FB4B37"/>
    <w:rsid w:val="00FB7C65"/>
    <w:rsid w:val="00FC19D5"/>
    <w:rsid w:val="00FC1FB3"/>
    <w:rsid w:val="00FC5B5A"/>
    <w:rsid w:val="00FD0F43"/>
    <w:rsid w:val="00FD13A3"/>
    <w:rsid w:val="00FE23BF"/>
    <w:rsid w:val="00FE4C0E"/>
    <w:rsid w:val="00FE5236"/>
    <w:rsid w:val="00FE590A"/>
    <w:rsid w:val="00FE5E9C"/>
    <w:rsid w:val="00FE7D18"/>
    <w:rsid w:val="00FF1BB8"/>
    <w:rsid w:val="00FF3F4E"/>
    <w:rsid w:val="00FF4F3C"/>
    <w:rsid w:val="00FF6EBA"/>
    <w:rsid w:val="00FF79D7"/>
    <w:rsid w:val="31DAE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964E"/>
  <w15:docId w15:val="{FC54820F-A21F-4EF7-A4FC-CF8907AAE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12D"/>
    <w:pPr>
      <w:jc w:val="both"/>
    </w:pPr>
    <w:rPr>
      <w:rFonts w:ascii="Arial" w:eastAsia="Times New Roman"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0112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0C41"/>
    <w:pPr>
      <w:spacing w:after="200" w:line="276" w:lineRule="auto"/>
      <w:ind w:left="720"/>
      <w:contextualSpacing/>
      <w:jc w:val="left"/>
    </w:pPr>
    <w:rPr>
      <w:rFonts w:ascii="Calibri" w:eastAsia="Calibri" w:hAnsi="Calibri"/>
      <w:lang w:eastAsia="en-US"/>
    </w:rPr>
  </w:style>
  <w:style w:type="character" w:styleId="Strong">
    <w:name w:val="Strong"/>
    <w:uiPriority w:val="22"/>
    <w:qFormat/>
    <w:rsid w:val="005938C8"/>
    <w:rPr>
      <w:b w:val="0"/>
      <w:bCs w:val="0"/>
    </w:rPr>
  </w:style>
  <w:style w:type="paragraph" w:styleId="NormalWeb">
    <w:name w:val="Normal (Web)"/>
    <w:basedOn w:val="Normal"/>
    <w:uiPriority w:val="99"/>
    <w:unhideWhenUsed/>
    <w:rsid w:val="005938C8"/>
    <w:pPr>
      <w:spacing w:after="300"/>
      <w:jc w:val="left"/>
    </w:pPr>
    <w:rPr>
      <w:rFonts w:ascii="Times New Roman" w:hAnsi="Times New Roman"/>
      <w:sz w:val="24"/>
      <w:szCs w:val="24"/>
    </w:rPr>
  </w:style>
  <w:style w:type="paragraph" w:styleId="NoSpacing">
    <w:name w:val="No Spacing"/>
    <w:uiPriority w:val="1"/>
    <w:qFormat/>
    <w:rsid w:val="007A674C"/>
    <w:rPr>
      <w:sz w:val="22"/>
      <w:szCs w:val="22"/>
      <w:lang w:eastAsia="en-US"/>
    </w:rPr>
  </w:style>
  <w:style w:type="character" w:styleId="CommentReference">
    <w:name w:val="annotation reference"/>
    <w:uiPriority w:val="99"/>
    <w:semiHidden/>
    <w:unhideWhenUsed/>
    <w:rsid w:val="00174D22"/>
    <w:rPr>
      <w:sz w:val="16"/>
      <w:szCs w:val="16"/>
    </w:rPr>
  </w:style>
  <w:style w:type="paragraph" w:styleId="CommentText">
    <w:name w:val="annotation text"/>
    <w:basedOn w:val="Normal"/>
    <w:link w:val="CommentTextChar"/>
    <w:uiPriority w:val="99"/>
    <w:semiHidden/>
    <w:unhideWhenUsed/>
    <w:rsid w:val="00174D22"/>
    <w:rPr>
      <w:sz w:val="20"/>
      <w:szCs w:val="20"/>
    </w:rPr>
  </w:style>
  <w:style w:type="character" w:customStyle="1" w:styleId="CommentTextChar">
    <w:name w:val="Comment Text Char"/>
    <w:link w:val="CommentText"/>
    <w:uiPriority w:val="99"/>
    <w:semiHidden/>
    <w:rsid w:val="00174D22"/>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174D22"/>
    <w:rPr>
      <w:b/>
      <w:bCs/>
    </w:rPr>
  </w:style>
  <w:style w:type="character" w:customStyle="1" w:styleId="CommentSubjectChar">
    <w:name w:val="Comment Subject Char"/>
    <w:link w:val="CommentSubject"/>
    <w:uiPriority w:val="99"/>
    <w:semiHidden/>
    <w:rsid w:val="00174D22"/>
    <w:rPr>
      <w:rFonts w:ascii="Arial" w:eastAsia="Times New Roman" w:hAnsi="Arial"/>
      <w:b/>
      <w:bCs/>
    </w:rPr>
  </w:style>
  <w:style w:type="paragraph" w:styleId="BalloonText">
    <w:name w:val="Balloon Text"/>
    <w:basedOn w:val="Normal"/>
    <w:link w:val="BalloonTextChar"/>
    <w:uiPriority w:val="99"/>
    <w:semiHidden/>
    <w:unhideWhenUsed/>
    <w:rsid w:val="00174D22"/>
    <w:rPr>
      <w:rFonts w:ascii="Tahoma" w:hAnsi="Tahoma" w:cs="Tahoma"/>
      <w:sz w:val="16"/>
      <w:szCs w:val="16"/>
    </w:rPr>
  </w:style>
  <w:style w:type="character" w:customStyle="1" w:styleId="BalloonTextChar">
    <w:name w:val="Balloon Text Char"/>
    <w:link w:val="BalloonText"/>
    <w:uiPriority w:val="99"/>
    <w:semiHidden/>
    <w:rsid w:val="00174D22"/>
    <w:rPr>
      <w:rFonts w:ascii="Tahoma" w:eastAsia="Times New Roman" w:hAnsi="Tahoma" w:cs="Tahoma"/>
      <w:sz w:val="16"/>
      <w:szCs w:val="16"/>
    </w:rPr>
  </w:style>
  <w:style w:type="character" w:styleId="Hyperlink">
    <w:name w:val="Hyperlink"/>
    <w:uiPriority w:val="99"/>
    <w:unhideWhenUsed/>
    <w:rsid w:val="00A34CE5"/>
    <w:rPr>
      <w:color w:val="0563C1"/>
      <w:u w:val="single"/>
    </w:rPr>
  </w:style>
  <w:style w:type="paragraph" w:customStyle="1" w:styleId="CharChar">
    <w:name w:val="Char Char"/>
    <w:basedOn w:val="Normal"/>
    <w:rsid w:val="002723E9"/>
    <w:pPr>
      <w:spacing w:after="160" w:line="240" w:lineRule="exact"/>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98796">
      <w:bodyDiv w:val="1"/>
      <w:marLeft w:val="0"/>
      <w:marRight w:val="0"/>
      <w:marTop w:val="0"/>
      <w:marBottom w:val="0"/>
      <w:divBdr>
        <w:top w:val="none" w:sz="0" w:space="0" w:color="auto"/>
        <w:left w:val="none" w:sz="0" w:space="0" w:color="auto"/>
        <w:bottom w:val="none" w:sz="0" w:space="0" w:color="auto"/>
        <w:right w:val="none" w:sz="0" w:space="0" w:color="auto"/>
      </w:divBdr>
    </w:div>
    <w:div w:id="84808727">
      <w:bodyDiv w:val="1"/>
      <w:marLeft w:val="0"/>
      <w:marRight w:val="0"/>
      <w:marTop w:val="0"/>
      <w:marBottom w:val="0"/>
      <w:divBdr>
        <w:top w:val="none" w:sz="0" w:space="0" w:color="auto"/>
        <w:left w:val="none" w:sz="0" w:space="0" w:color="auto"/>
        <w:bottom w:val="none" w:sz="0" w:space="0" w:color="auto"/>
        <w:right w:val="none" w:sz="0" w:space="0" w:color="auto"/>
      </w:divBdr>
    </w:div>
    <w:div w:id="218319943">
      <w:bodyDiv w:val="1"/>
      <w:marLeft w:val="0"/>
      <w:marRight w:val="0"/>
      <w:marTop w:val="0"/>
      <w:marBottom w:val="0"/>
      <w:divBdr>
        <w:top w:val="none" w:sz="0" w:space="0" w:color="auto"/>
        <w:left w:val="none" w:sz="0" w:space="0" w:color="auto"/>
        <w:bottom w:val="none" w:sz="0" w:space="0" w:color="auto"/>
        <w:right w:val="none" w:sz="0" w:space="0" w:color="auto"/>
      </w:divBdr>
    </w:div>
    <w:div w:id="227037002">
      <w:bodyDiv w:val="1"/>
      <w:marLeft w:val="0"/>
      <w:marRight w:val="0"/>
      <w:marTop w:val="0"/>
      <w:marBottom w:val="0"/>
      <w:divBdr>
        <w:top w:val="none" w:sz="0" w:space="0" w:color="auto"/>
        <w:left w:val="none" w:sz="0" w:space="0" w:color="auto"/>
        <w:bottom w:val="none" w:sz="0" w:space="0" w:color="auto"/>
        <w:right w:val="none" w:sz="0" w:space="0" w:color="auto"/>
      </w:divBdr>
    </w:div>
    <w:div w:id="264383996">
      <w:bodyDiv w:val="1"/>
      <w:marLeft w:val="0"/>
      <w:marRight w:val="0"/>
      <w:marTop w:val="0"/>
      <w:marBottom w:val="0"/>
      <w:divBdr>
        <w:top w:val="none" w:sz="0" w:space="0" w:color="auto"/>
        <w:left w:val="none" w:sz="0" w:space="0" w:color="auto"/>
        <w:bottom w:val="none" w:sz="0" w:space="0" w:color="auto"/>
        <w:right w:val="none" w:sz="0" w:space="0" w:color="auto"/>
      </w:divBdr>
    </w:div>
    <w:div w:id="314377261">
      <w:bodyDiv w:val="1"/>
      <w:marLeft w:val="0"/>
      <w:marRight w:val="0"/>
      <w:marTop w:val="0"/>
      <w:marBottom w:val="0"/>
      <w:divBdr>
        <w:top w:val="none" w:sz="0" w:space="0" w:color="auto"/>
        <w:left w:val="none" w:sz="0" w:space="0" w:color="auto"/>
        <w:bottom w:val="none" w:sz="0" w:space="0" w:color="auto"/>
        <w:right w:val="none" w:sz="0" w:space="0" w:color="auto"/>
      </w:divBdr>
    </w:div>
    <w:div w:id="339547521">
      <w:bodyDiv w:val="1"/>
      <w:marLeft w:val="0"/>
      <w:marRight w:val="0"/>
      <w:marTop w:val="0"/>
      <w:marBottom w:val="0"/>
      <w:divBdr>
        <w:top w:val="none" w:sz="0" w:space="0" w:color="auto"/>
        <w:left w:val="none" w:sz="0" w:space="0" w:color="auto"/>
        <w:bottom w:val="none" w:sz="0" w:space="0" w:color="auto"/>
        <w:right w:val="none" w:sz="0" w:space="0" w:color="auto"/>
      </w:divBdr>
    </w:div>
    <w:div w:id="354581608">
      <w:bodyDiv w:val="1"/>
      <w:marLeft w:val="0"/>
      <w:marRight w:val="0"/>
      <w:marTop w:val="0"/>
      <w:marBottom w:val="0"/>
      <w:divBdr>
        <w:top w:val="none" w:sz="0" w:space="0" w:color="auto"/>
        <w:left w:val="none" w:sz="0" w:space="0" w:color="auto"/>
        <w:bottom w:val="none" w:sz="0" w:space="0" w:color="auto"/>
        <w:right w:val="none" w:sz="0" w:space="0" w:color="auto"/>
      </w:divBdr>
    </w:div>
    <w:div w:id="471019853">
      <w:bodyDiv w:val="1"/>
      <w:marLeft w:val="0"/>
      <w:marRight w:val="0"/>
      <w:marTop w:val="0"/>
      <w:marBottom w:val="0"/>
      <w:divBdr>
        <w:top w:val="none" w:sz="0" w:space="0" w:color="auto"/>
        <w:left w:val="none" w:sz="0" w:space="0" w:color="auto"/>
        <w:bottom w:val="none" w:sz="0" w:space="0" w:color="auto"/>
        <w:right w:val="none" w:sz="0" w:space="0" w:color="auto"/>
      </w:divBdr>
    </w:div>
    <w:div w:id="491486530">
      <w:bodyDiv w:val="1"/>
      <w:marLeft w:val="0"/>
      <w:marRight w:val="0"/>
      <w:marTop w:val="0"/>
      <w:marBottom w:val="0"/>
      <w:divBdr>
        <w:top w:val="none" w:sz="0" w:space="0" w:color="auto"/>
        <w:left w:val="none" w:sz="0" w:space="0" w:color="auto"/>
        <w:bottom w:val="none" w:sz="0" w:space="0" w:color="auto"/>
        <w:right w:val="none" w:sz="0" w:space="0" w:color="auto"/>
      </w:divBdr>
    </w:div>
    <w:div w:id="695689819">
      <w:bodyDiv w:val="1"/>
      <w:marLeft w:val="0"/>
      <w:marRight w:val="0"/>
      <w:marTop w:val="0"/>
      <w:marBottom w:val="0"/>
      <w:divBdr>
        <w:top w:val="none" w:sz="0" w:space="0" w:color="auto"/>
        <w:left w:val="none" w:sz="0" w:space="0" w:color="auto"/>
        <w:bottom w:val="none" w:sz="0" w:space="0" w:color="auto"/>
        <w:right w:val="none" w:sz="0" w:space="0" w:color="auto"/>
      </w:divBdr>
    </w:div>
    <w:div w:id="759564288">
      <w:bodyDiv w:val="1"/>
      <w:marLeft w:val="0"/>
      <w:marRight w:val="0"/>
      <w:marTop w:val="0"/>
      <w:marBottom w:val="0"/>
      <w:divBdr>
        <w:top w:val="none" w:sz="0" w:space="0" w:color="auto"/>
        <w:left w:val="none" w:sz="0" w:space="0" w:color="auto"/>
        <w:bottom w:val="none" w:sz="0" w:space="0" w:color="auto"/>
        <w:right w:val="none" w:sz="0" w:space="0" w:color="auto"/>
      </w:divBdr>
    </w:div>
    <w:div w:id="768349534">
      <w:bodyDiv w:val="1"/>
      <w:marLeft w:val="0"/>
      <w:marRight w:val="0"/>
      <w:marTop w:val="0"/>
      <w:marBottom w:val="0"/>
      <w:divBdr>
        <w:top w:val="none" w:sz="0" w:space="0" w:color="auto"/>
        <w:left w:val="none" w:sz="0" w:space="0" w:color="auto"/>
        <w:bottom w:val="none" w:sz="0" w:space="0" w:color="auto"/>
        <w:right w:val="none" w:sz="0" w:space="0" w:color="auto"/>
      </w:divBdr>
    </w:div>
    <w:div w:id="829907731">
      <w:bodyDiv w:val="1"/>
      <w:marLeft w:val="0"/>
      <w:marRight w:val="0"/>
      <w:marTop w:val="0"/>
      <w:marBottom w:val="0"/>
      <w:divBdr>
        <w:top w:val="none" w:sz="0" w:space="0" w:color="auto"/>
        <w:left w:val="none" w:sz="0" w:space="0" w:color="auto"/>
        <w:bottom w:val="none" w:sz="0" w:space="0" w:color="auto"/>
        <w:right w:val="none" w:sz="0" w:space="0" w:color="auto"/>
      </w:divBdr>
    </w:div>
    <w:div w:id="900017370">
      <w:bodyDiv w:val="1"/>
      <w:marLeft w:val="0"/>
      <w:marRight w:val="0"/>
      <w:marTop w:val="0"/>
      <w:marBottom w:val="0"/>
      <w:divBdr>
        <w:top w:val="none" w:sz="0" w:space="0" w:color="auto"/>
        <w:left w:val="none" w:sz="0" w:space="0" w:color="auto"/>
        <w:bottom w:val="none" w:sz="0" w:space="0" w:color="auto"/>
        <w:right w:val="none" w:sz="0" w:space="0" w:color="auto"/>
      </w:divBdr>
    </w:div>
    <w:div w:id="1004430637">
      <w:bodyDiv w:val="1"/>
      <w:marLeft w:val="0"/>
      <w:marRight w:val="0"/>
      <w:marTop w:val="0"/>
      <w:marBottom w:val="0"/>
      <w:divBdr>
        <w:top w:val="none" w:sz="0" w:space="0" w:color="auto"/>
        <w:left w:val="none" w:sz="0" w:space="0" w:color="auto"/>
        <w:bottom w:val="none" w:sz="0" w:space="0" w:color="auto"/>
        <w:right w:val="none" w:sz="0" w:space="0" w:color="auto"/>
      </w:divBdr>
    </w:div>
    <w:div w:id="1032999388">
      <w:bodyDiv w:val="1"/>
      <w:marLeft w:val="0"/>
      <w:marRight w:val="0"/>
      <w:marTop w:val="0"/>
      <w:marBottom w:val="0"/>
      <w:divBdr>
        <w:top w:val="none" w:sz="0" w:space="0" w:color="auto"/>
        <w:left w:val="none" w:sz="0" w:space="0" w:color="auto"/>
        <w:bottom w:val="none" w:sz="0" w:space="0" w:color="auto"/>
        <w:right w:val="none" w:sz="0" w:space="0" w:color="auto"/>
      </w:divBdr>
    </w:div>
    <w:div w:id="1080325915">
      <w:bodyDiv w:val="1"/>
      <w:marLeft w:val="0"/>
      <w:marRight w:val="0"/>
      <w:marTop w:val="0"/>
      <w:marBottom w:val="0"/>
      <w:divBdr>
        <w:top w:val="none" w:sz="0" w:space="0" w:color="auto"/>
        <w:left w:val="none" w:sz="0" w:space="0" w:color="auto"/>
        <w:bottom w:val="none" w:sz="0" w:space="0" w:color="auto"/>
        <w:right w:val="none" w:sz="0" w:space="0" w:color="auto"/>
      </w:divBdr>
    </w:div>
    <w:div w:id="1117913646">
      <w:bodyDiv w:val="1"/>
      <w:marLeft w:val="0"/>
      <w:marRight w:val="0"/>
      <w:marTop w:val="0"/>
      <w:marBottom w:val="0"/>
      <w:divBdr>
        <w:top w:val="none" w:sz="0" w:space="0" w:color="auto"/>
        <w:left w:val="none" w:sz="0" w:space="0" w:color="auto"/>
        <w:bottom w:val="none" w:sz="0" w:space="0" w:color="auto"/>
        <w:right w:val="none" w:sz="0" w:space="0" w:color="auto"/>
      </w:divBdr>
    </w:div>
    <w:div w:id="1203707337">
      <w:bodyDiv w:val="1"/>
      <w:marLeft w:val="0"/>
      <w:marRight w:val="0"/>
      <w:marTop w:val="0"/>
      <w:marBottom w:val="0"/>
      <w:divBdr>
        <w:top w:val="none" w:sz="0" w:space="0" w:color="auto"/>
        <w:left w:val="none" w:sz="0" w:space="0" w:color="auto"/>
        <w:bottom w:val="none" w:sz="0" w:space="0" w:color="auto"/>
        <w:right w:val="none" w:sz="0" w:space="0" w:color="auto"/>
      </w:divBdr>
    </w:div>
    <w:div w:id="1213888088">
      <w:bodyDiv w:val="1"/>
      <w:marLeft w:val="0"/>
      <w:marRight w:val="0"/>
      <w:marTop w:val="0"/>
      <w:marBottom w:val="0"/>
      <w:divBdr>
        <w:top w:val="none" w:sz="0" w:space="0" w:color="auto"/>
        <w:left w:val="none" w:sz="0" w:space="0" w:color="auto"/>
        <w:bottom w:val="none" w:sz="0" w:space="0" w:color="auto"/>
        <w:right w:val="none" w:sz="0" w:space="0" w:color="auto"/>
      </w:divBdr>
    </w:div>
    <w:div w:id="1355157408">
      <w:bodyDiv w:val="1"/>
      <w:marLeft w:val="0"/>
      <w:marRight w:val="0"/>
      <w:marTop w:val="0"/>
      <w:marBottom w:val="0"/>
      <w:divBdr>
        <w:top w:val="none" w:sz="0" w:space="0" w:color="auto"/>
        <w:left w:val="none" w:sz="0" w:space="0" w:color="auto"/>
        <w:bottom w:val="none" w:sz="0" w:space="0" w:color="auto"/>
        <w:right w:val="none" w:sz="0" w:space="0" w:color="auto"/>
      </w:divBdr>
    </w:div>
    <w:div w:id="1367678422">
      <w:bodyDiv w:val="1"/>
      <w:marLeft w:val="0"/>
      <w:marRight w:val="0"/>
      <w:marTop w:val="0"/>
      <w:marBottom w:val="0"/>
      <w:divBdr>
        <w:top w:val="none" w:sz="0" w:space="0" w:color="auto"/>
        <w:left w:val="none" w:sz="0" w:space="0" w:color="auto"/>
        <w:bottom w:val="none" w:sz="0" w:space="0" w:color="auto"/>
        <w:right w:val="none" w:sz="0" w:space="0" w:color="auto"/>
      </w:divBdr>
    </w:div>
    <w:div w:id="1401444696">
      <w:bodyDiv w:val="1"/>
      <w:marLeft w:val="0"/>
      <w:marRight w:val="0"/>
      <w:marTop w:val="0"/>
      <w:marBottom w:val="0"/>
      <w:divBdr>
        <w:top w:val="none" w:sz="0" w:space="0" w:color="auto"/>
        <w:left w:val="none" w:sz="0" w:space="0" w:color="auto"/>
        <w:bottom w:val="none" w:sz="0" w:space="0" w:color="auto"/>
        <w:right w:val="none" w:sz="0" w:space="0" w:color="auto"/>
      </w:divBdr>
    </w:div>
    <w:div w:id="1412890859">
      <w:bodyDiv w:val="1"/>
      <w:marLeft w:val="0"/>
      <w:marRight w:val="0"/>
      <w:marTop w:val="0"/>
      <w:marBottom w:val="0"/>
      <w:divBdr>
        <w:top w:val="none" w:sz="0" w:space="0" w:color="auto"/>
        <w:left w:val="none" w:sz="0" w:space="0" w:color="auto"/>
        <w:bottom w:val="none" w:sz="0" w:space="0" w:color="auto"/>
        <w:right w:val="none" w:sz="0" w:space="0" w:color="auto"/>
      </w:divBdr>
    </w:div>
    <w:div w:id="1469014991">
      <w:bodyDiv w:val="1"/>
      <w:marLeft w:val="0"/>
      <w:marRight w:val="0"/>
      <w:marTop w:val="0"/>
      <w:marBottom w:val="0"/>
      <w:divBdr>
        <w:top w:val="none" w:sz="0" w:space="0" w:color="auto"/>
        <w:left w:val="none" w:sz="0" w:space="0" w:color="auto"/>
        <w:bottom w:val="none" w:sz="0" w:space="0" w:color="auto"/>
        <w:right w:val="none" w:sz="0" w:space="0" w:color="auto"/>
      </w:divBdr>
    </w:div>
    <w:div w:id="1620259287">
      <w:bodyDiv w:val="1"/>
      <w:marLeft w:val="0"/>
      <w:marRight w:val="0"/>
      <w:marTop w:val="0"/>
      <w:marBottom w:val="0"/>
      <w:divBdr>
        <w:top w:val="none" w:sz="0" w:space="0" w:color="auto"/>
        <w:left w:val="none" w:sz="0" w:space="0" w:color="auto"/>
        <w:bottom w:val="none" w:sz="0" w:space="0" w:color="auto"/>
        <w:right w:val="none" w:sz="0" w:space="0" w:color="auto"/>
      </w:divBdr>
    </w:div>
    <w:div w:id="1668286614">
      <w:bodyDiv w:val="1"/>
      <w:marLeft w:val="0"/>
      <w:marRight w:val="0"/>
      <w:marTop w:val="0"/>
      <w:marBottom w:val="0"/>
      <w:divBdr>
        <w:top w:val="none" w:sz="0" w:space="0" w:color="auto"/>
        <w:left w:val="none" w:sz="0" w:space="0" w:color="auto"/>
        <w:bottom w:val="none" w:sz="0" w:space="0" w:color="auto"/>
        <w:right w:val="none" w:sz="0" w:space="0" w:color="auto"/>
      </w:divBdr>
    </w:div>
    <w:div w:id="1721662345">
      <w:bodyDiv w:val="1"/>
      <w:marLeft w:val="0"/>
      <w:marRight w:val="0"/>
      <w:marTop w:val="0"/>
      <w:marBottom w:val="0"/>
      <w:divBdr>
        <w:top w:val="none" w:sz="0" w:space="0" w:color="auto"/>
        <w:left w:val="none" w:sz="0" w:space="0" w:color="auto"/>
        <w:bottom w:val="none" w:sz="0" w:space="0" w:color="auto"/>
        <w:right w:val="none" w:sz="0" w:space="0" w:color="auto"/>
      </w:divBdr>
    </w:div>
    <w:div w:id="1814713694">
      <w:bodyDiv w:val="1"/>
      <w:marLeft w:val="0"/>
      <w:marRight w:val="0"/>
      <w:marTop w:val="0"/>
      <w:marBottom w:val="0"/>
      <w:divBdr>
        <w:top w:val="none" w:sz="0" w:space="0" w:color="auto"/>
        <w:left w:val="none" w:sz="0" w:space="0" w:color="auto"/>
        <w:bottom w:val="none" w:sz="0" w:space="0" w:color="auto"/>
        <w:right w:val="none" w:sz="0" w:space="0" w:color="auto"/>
      </w:divBdr>
    </w:div>
    <w:div w:id="1816264951">
      <w:bodyDiv w:val="1"/>
      <w:marLeft w:val="0"/>
      <w:marRight w:val="0"/>
      <w:marTop w:val="0"/>
      <w:marBottom w:val="0"/>
      <w:divBdr>
        <w:top w:val="none" w:sz="0" w:space="0" w:color="auto"/>
        <w:left w:val="none" w:sz="0" w:space="0" w:color="auto"/>
        <w:bottom w:val="none" w:sz="0" w:space="0" w:color="auto"/>
        <w:right w:val="none" w:sz="0" w:space="0" w:color="auto"/>
      </w:divBdr>
    </w:div>
    <w:div w:id="1834881216">
      <w:bodyDiv w:val="1"/>
      <w:marLeft w:val="0"/>
      <w:marRight w:val="0"/>
      <w:marTop w:val="0"/>
      <w:marBottom w:val="0"/>
      <w:divBdr>
        <w:top w:val="none" w:sz="0" w:space="0" w:color="auto"/>
        <w:left w:val="none" w:sz="0" w:space="0" w:color="auto"/>
        <w:bottom w:val="none" w:sz="0" w:space="0" w:color="auto"/>
        <w:right w:val="none" w:sz="0" w:space="0" w:color="auto"/>
      </w:divBdr>
    </w:div>
    <w:div w:id="2013337622">
      <w:bodyDiv w:val="1"/>
      <w:marLeft w:val="0"/>
      <w:marRight w:val="0"/>
      <w:marTop w:val="0"/>
      <w:marBottom w:val="0"/>
      <w:divBdr>
        <w:top w:val="none" w:sz="0" w:space="0" w:color="auto"/>
        <w:left w:val="none" w:sz="0" w:space="0" w:color="auto"/>
        <w:bottom w:val="none" w:sz="0" w:space="0" w:color="auto"/>
        <w:right w:val="none" w:sz="0" w:space="0" w:color="auto"/>
      </w:divBdr>
    </w:div>
    <w:div w:id="2029715857">
      <w:bodyDiv w:val="1"/>
      <w:marLeft w:val="0"/>
      <w:marRight w:val="0"/>
      <w:marTop w:val="0"/>
      <w:marBottom w:val="0"/>
      <w:divBdr>
        <w:top w:val="none" w:sz="0" w:space="0" w:color="auto"/>
        <w:left w:val="none" w:sz="0" w:space="0" w:color="auto"/>
        <w:bottom w:val="none" w:sz="0" w:space="0" w:color="auto"/>
        <w:right w:val="none" w:sz="0" w:space="0" w:color="auto"/>
      </w:divBdr>
    </w:div>
    <w:div w:id="2037849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ills@mansfield.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60FA6-7EA1-44AD-9381-85DA20BD2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Scott</dc:creator>
  <cp:lastModifiedBy>Gabriella Wright</cp:lastModifiedBy>
  <cp:revision>2</cp:revision>
  <cp:lastPrinted>2019-08-07T17:17:00Z</cp:lastPrinted>
  <dcterms:created xsi:type="dcterms:W3CDTF">2022-01-24T10:19:00Z</dcterms:created>
  <dcterms:modified xsi:type="dcterms:W3CDTF">2022-01-24T10:19:00Z</dcterms:modified>
</cp:coreProperties>
</file>